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1.4  ·  ISO 27001 OVERVIEW</w:t>
      </w:r>
    </w:p>
    <w:p>
      <w:pPr>
        <w:pStyle w:val="Heading1"/>
        <w:spacing w:after="120"/>
      </w:pPr>
      <w:r>
        <w:rPr>
          <w:rFonts w:ascii="Arial" w:cs="Arial" w:eastAsia="Arial" w:hAnsi="Arial"/>
          <w:b/>
          <w:bCs/>
          <w:color w:val="1B3A5C"/>
          <w:sz w:val="44"/>
          <w:szCs w:val="44"/>
        </w:rPr>
        <w:t xml:space="preserve">Benefits of ISO 27001 Certification</w:t>
      </w:r>
    </w:p>
    <w:p>
      <w:pPr>
        <w:spacing w:after="60"/>
      </w:pPr>
      <w:r>
        <w:rPr>
          <w:rFonts w:ascii="Georgia" w:cs="Georgia" w:eastAsia="Georgia" w:hAnsi="Georgia"/>
          <w:i/>
          <w:iCs/>
          <w:color w:val="4B5563"/>
          <w:sz w:val="24"/>
          <w:szCs w:val="24"/>
        </w:rPr>
        <w:t xml:space="preserve">How ISO 27001 certification delivers measurable value — from risk reduction and regulatory alignment to market access, customer trust, and organizational resilience.</w:t>
      </w:r>
    </w:p>
    <w:p>
      <w:pPr>
        <w:spacing w:after="40"/>
      </w:pPr>
      <w:r>
        <w:rPr>
          <w:rFonts w:ascii="Arial" w:cs="Arial" w:eastAsia="Arial" w:hAnsi="Arial"/>
          <w:color w:val="9CA3AF"/>
          <w:sz w:val="18"/>
          <w:szCs w:val="18"/>
        </w:rPr>
        <w:t xml:space="preserve">Bitlion GRC Documentation  ·  Updated March 2026  ·  Reading time: ~14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There is a version of this conversation that goes badly. A founder or operations lead hears "ISO 27001 certification" and immediately thinks: expensive, time-consuming, bureaucratic, and primarily useful for winning enterprise sales pitches. Something you do because a big client asked for it, then put on a shelf.</w:t>
      </w:r>
    </w:p>
    <w:p>
      <w:pPr>
        <w:spacing w:after="80"/>
      </w:pPr>
      <w:r>
        <w:t xml:space="preserve"/>
      </w:r>
    </w:p>
    <w:p>
      <w:pPr>
        <w:spacing w:after="160" w:line="320"/>
        <w:jc w:val="both"/>
      </w:pPr>
      <w:r>
        <w:rPr>
          <w:rFonts w:ascii="Georgia" w:cs="Georgia" w:eastAsia="Georgia" w:hAnsi="Georgia"/>
          <w:color w:val="111827"/>
          <w:sz w:val="22"/>
          <w:szCs w:val="22"/>
        </w:rPr>
        <w:t xml:space="preserve">That framing is both understandable and wrong. The organizations that treat ISO 27001 as a checkbox exercise do get a certificate — but they miss most of the value. The organizations that build their ISMS with genuine intent discover something more interesting: a management system that changes how they identify problems, respond to incidents, make security investments, and present themselves to regulators and clients.</w:t>
      </w:r>
    </w:p>
    <w:p>
      <w:pPr>
        <w:spacing w:after="80"/>
      </w:pPr>
      <w:r>
        <w:t xml:space="preserve"/>
      </w:r>
    </w:p>
    <w:p>
      <w:pPr>
        <w:spacing w:after="160" w:line="320"/>
        <w:jc w:val="both"/>
      </w:pPr>
      <w:r>
        <w:rPr>
          <w:rFonts w:ascii="Georgia" w:cs="Georgia" w:eastAsia="Georgia" w:hAnsi="Georgia"/>
          <w:color w:val="111827"/>
          <w:sz w:val="22"/>
          <w:szCs w:val="22"/>
        </w:rPr>
        <w:t xml:space="preserve">This article examines the real benefits of ISO 27001 certification — not the marketing version, but the operational and strategic value that organizations in Indonesia's regulated industries are actually experiencing in 2026.</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Seven Core Benefits</w:t>
      </w:r>
    </w:p>
    <w:p>
      <w:pPr>
        <w:spacing w:after="80"/>
      </w:pPr>
      <w:r>
        <w:t xml:space="preserve"/>
      </w:r>
    </w:p>
    <w:p>
      <w:pPr>
        <w:spacing w:after="160" w:line="320"/>
        <w:jc w:val="both"/>
      </w:pPr>
      <w:r>
        <w:rPr>
          <w:rFonts w:ascii="Georgia" w:cs="Georgia" w:eastAsia="Georgia" w:hAnsi="Georgia"/>
          <w:color w:val="111827"/>
          <w:sz w:val="22"/>
          <w:szCs w:val="22"/>
        </w:rPr>
        <w:t xml:space="preserve">The benefits of ISO 27001 certification fall into seven distinct categories. They are not equally weighted for every organization — a startup entering financial services will prioritize regulatory alignment and market access, while a mature enterprise will lean harder on risk reduction and operational consistency. Understanding all seven helps you make the case internally and measure what you are actually getting.</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8560"/>
      </w:tblGrid>
      <w:tr>
        <w:tc>
          <w:tcPr>
            <w:tcW w:type="dxa" w:w="800"/>
            <w:tcBorders>
              <w:top w:val="single" w:color="E5E7EB" w:sz="1"/>
              <w:left w:val="single" w:color="E5E7EB" w:sz="1"/>
              <w:bottom w:val="single" w:color="E5E7EB" w:sz="1"/>
              <w:right w:val="none" w:color="FFFFFF" w:sz="0"/>
            </w:tcBorders>
            <w:shd w:fill="1B3A5C" w:val="clear"/>
            <w:tcMar>
              <w:top w:type="dxa" w:w="160"/>
              <w:left w:type="dxa" w:w="120"/>
              <w:bottom w:type="dxa" w:w="160"/>
              <w:right w:type="dxa" w:w="80"/>
            </w:tcMar>
            <w:vAlign w:val="center"/>
          </w:tcPr>
          <w:p>
            <w:pPr>
              <w:jc w:val="center"/>
            </w:pPr>
            <w:r>
              <w:rPr>
                <w:rFonts w:ascii="Arial" w:cs="Arial" w:eastAsia="Arial" w:hAnsi="Arial"/>
                <w:b/>
                <w:bCs/>
                <w:color w:val="FFFFFF"/>
                <w:sz w:val="40"/>
                <w:szCs w:val="40"/>
              </w:rPr>
              <w:t xml:space="preserve">01</w:t>
            </w:r>
          </w:p>
        </w:tc>
        <w:tc>
          <w:tcPr>
            <w:tcW w:type="dxa" w:w="8560"/>
            <w:tcBorders>
              <w:top w:val="single" w:color="E5E7EB" w:sz="1"/>
              <w:left w:val="none" w:color="FFFFFF" w:sz="0"/>
              <w:bottom w:val="single" w:color="E5E7EB" w:sz="1"/>
              <w:right w:val="single" w:color="E5E7EB" w:sz="1"/>
            </w:tcBorders>
            <w:shd w:fill="EBF2FB" w:val="clear"/>
            <w:tcMar>
              <w:top w:type="dxa" w:w="160"/>
              <w:left w:type="dxa" w:w="200"/>
              <w:bottom w:type="dxa" w:w="160"/>
              <w:right w:type="dxa" w:w="160"/>
            </w:tcMar>
          </w:tcPr>
          <w:p>
            <w:pPr>
              <w:spacing w:after="60"/>
            </w:pPr>
            <w:r>
              <w:rPr>
                <w:rFonts w:ascii="Arial" w:cs="Arial" w:eastAsia="Arial" w:hAnsi="Arial"/>
                <w:b/>
                <w:bCs/>
                <w:color w:val="1B3A5C"/>
                <w:sz w:val="24"/>
                <w:szCs w:val="24"/>
              </w:rPr>
              <w:t xml:space="preserve">Structured, Measurable Risk Reduction</w:t>
            </w:r>
          </w:p>
          <w:p>
            <w:r>
              <w:rPr>
                <w:rFonts w:ascii="Georgia" w:cs="Georgia" w:eastAsia="Georgia" w:hAnsi="Georgia"/>
                <w:i/>
                <w:iCs/>
                <w:color w:val="4B5563"/>
                <w:sz w:val="20"/>
                <w:szCs w:val="20"/>
              </w:rPr>
              <w:t xml:space="preserve">Replaces ad-hoc security decisions with a systematic, auditable risk management process.</w:t>
            </w:r>
          </w:p>
        </w:tc>
      </w:tr>
    </w:tbl>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8560"/>
      </w:tblGrid>
      <w:tr>
        <w:tc>
          <w:tcPr>
            <w:tcW w:type="dxa" w:w="800"/>
            <w:tcBorders>
              <w:top w:val="single" w:color="E5E7EB" w:sz="1"/>
              <w:left w:val="single" w:color="E5E7EB" w:sz="1"/>
              <w:bottom w:val="single" w:color="E5E7EB" w:sz="1"/>
              <w:right w:val="none" w:color="FFFFFF" w:sz="0"/>
            </w:tcBorders>
            <w:shd w:fill="0E9F6E" w:val="clear"/>
            <w:tcMar>
              <w:top w:type="dxa" w:w="160"/>
              <w:left w:type="dxa" w:w="120"/>
              <w:bottom w:type="dxa" w:w="160"/>
              <w:right w:type="dxa" w:w="80"/>
            </w:tcMar>
            <w:vAlign w:val="center"/>
          </w:tcPr>
          <w:p>
            <w:pPr>
              <w:jc w:val="center"/>
            </w:pPr>
            <w:r>
              <w:rPr>
                <w:rFonts w:ascii="Arial" w:cs="Arial" w:eastAsia="Arial" w:hAnsi="Arial"/>
                <w:b/>
                <w:bCs/>
                <w:color w:val="FFFFFF"/>
                <w:sz w:val="40"/>
                <w:szCs w:val="40"/>
              </w:rPr>
              <w:t xml:space="preserve">02</w:t>
            </w:r>
          </w:p>
        </w:tc>
        <w:tc>
          <w:tcPr>
            <w:tcW w:type="dxa" w:w="8560"/>
            <w:tcBorders>
              <w:top w:val="single" w:color="E5E7EB" w:sz="1"/>
              <w:left w:val="none" w:color="FFFFFF" w:sz="0"/>
              <w:bottom w:val="single" w:color="E5E7EB" w:sz="1"/>
              <w:right w:val="single" w:color="E5E7EB" w:sz="1"/>
            </w:tcBorders>
            <w:shd w:fill="ECFDF5" w:val="clear"/>
            <w:tcMar>
              <w:top w:type="dxa" w:w="160"/>
              <w:left w:type="dxa" w:w="200"/>
              <w:bottom w:type="dxa" w:w="160"/>
              <w:right w:type="dxa" w:w="160"/>
            </w:tcMar>
          </w:tcPr>
          <w:p>
            <w:pPr>
              <w:spacing w:after="60"/>
            </w:pPr>
            <w:r>
              <w:rPr>
                <w:rFonts w:ascii="Arial" w:cs="Arial" w:eastAsia="Arial" w:hAnsi="Arial"/>
                <w:b/>
                <w:bCs/>
                <w:color w:val="065F46"/>
                <w:sz w:val="24"/>
                <w:szCs w:val="24"/>
              </w:rPr>
              <w:t xml:space="preserve">Regulatory Compliance Alignment</w:t>
            </w:r>
          </w:p>
          <w:p>
            <w:r>
              <w:rPr>
                <w:rFonts w:ascii="Georgia" w:cs="Georgia" w:eastAsia="Georgia" w:hAnsi="Georgia"/>
                <w:i/>
                <w:iCs/>
                <w:color w:val="4B5563"/>
                <w:sz w:val="20"/>
                <w:szCs w:val="20"/>
              </w:rPr>
              <w:t xml:space="preserve">Maps directly to UU PDP, POJK, PBI, and BSSN requirements — one ISMS, multiple regulations satisfied.</w:t>
            </w:r>
          </w:p>
        </w:tc>
      </w:tr>
    </w:tbl>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8560"/>
      </w:tblGrid>
      <w:tr>
        <w:tc>
          <w:tcPr>
            <w:tcW w:type="dxa" w:w="800"/>
            <w:tcBorders>
              <w:top w:val="single" w:color="E5E7EB" w:sz="1"/>
              <w:left w:val="single" w:color="E5E7EB" w:sz="1"/>
              <w:bottom w:val="single" w:color="E5E7EB" w:sz="1"/>
              <w:right w:val="none" w:color="FFFFFF" w:sz="0"/>
            </w:tcBorders>
            <w:shd w:fill="2563A8" w:val="clear"/>
            <w:tcMar>
              <w:top w:type="dxa" w:w="160"/>
              <w:left w:type="dxa" w:w="120"/>
              <w:bottom w:type="dxa" w:w="160"/>
              <w:right w:type="dxa" w:w="80"/>
            </w:tcMar>
            <w:vAlign w:val="center"/>
          </w:tcPr>
          <w:p>
            <w:pPr>
              <w:jc w:val="center"/>
            </w:pPr>
            <w:r>
              <w:rPr>
                <w:rFonts w:ascii="Arial" w:cs="Arial" w:eastAsia="Arial" w:hAnsi="Arial"/>
                <w:b/>
                <w:bCs/>
                <w:color w:val="FFFFFF"/>
                <w:sz w:val="40"/>
                <w:szCs w:val="40"/>
              </w:rPr>
              <w:t xml:space="preserve">03</w:t>
            </w:r>
          </w:p>
        </w:tc>
        <w:tc>
          <w:tcPr>
            <w:tcW w:type="dxa" w:w="8560"/>
            <w:tcBorders>
              <w:top w:val="single" w:color="E5E7EB" w:sz="1"/>
              <w:left w:val="none" w:color="FFFFFF" w:sz="0"/>
              <w:bottom w:val="single" w:color="E5E7EB" w:sz="1"/>
              <w:right w:val="single" w:color="E5E7EB" w:sz="1"/>
            </w:tcBorders>
            <w:shd w:fill="EBF2FB" w:val="clear"/>
            <w:tcMar>
              <w:top w:type="dxa" w:w="160"/>
              <w:left w:type="dxa" w:w="200"/>
              <w:bottom w:type="dxa" w:w="160"/>
              <w:right w:type="dxa" w:w="160"/>
            </w:tcMar>
          </w:tcPr>
          <w:p>
            <w:pPr>
              <w:spacing w:after="60"/>
            </w:pPr>
            <w:r>
              <w:rPr>
                <w:rFonts w:ascii="Arial" w:cs="Arial" w:eastAsia="Arial" w:hAnsi="Arial"/>
                <w:b/>
                <w:bCs/>
                <w:color w:val="1B3A5C"/>
                <w:sz w:val="24"/>
                <w:szCs w:val="24"/>
              </w:rPr>
              <w:t xml:space="preserve">Customer and Partner Trust</w:t>
            </w:r>
          </w:p>
          <w:p>
            <w:r>
              <w:rPr>
                <w:rFonts w:ascii="Georgia" w:cs="Georgia" w:eastAsia="Georgia" w:hAnsi="Georgia"/>
                <w:i/>
                <w:iCs/>
                <w:color w:val="4B5563"/>
                <w:sz w:val="20"/>
                <w:szCs w:val="20"/>
              </w:rPr>
              <w:t xml:space="preserve">Third-party verification that your security posture meets an international standard — without requiring clients to audit you themselves.</w:t>
            </w:r>
          </w:p>
        </w:tc>
      </w:tr>
    </w:tbl>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8560"/>
      </w:tblGrid>
      <w:tr>
        <w:tc>
          <w:tcPr>
            <w:tcW w:type="dxa" w:w="800"/>
            <w:tcBorders>
              <w:top w:val="single" w:color="E5E7EB" w:sz="1"/>
              <w:left w:val="single" w:color="E5E7EB" w:sz="1"/>
              <w:bottom w:val="single" w:color="E5E7EB" w:sz="1"/>
              <w:right w:val="none" w:color="FFFFFF" w:sz="0"/>
            </w:tcBorders>
            <w:shd w:fill="B45309" w:val="clear"/>
            <w:tcMar>
              <w:top w:type="dxa" w:w="160"/>
              <w:left w:type="dxa" w:w="120"/>
              <w:bottom w:type="dxa" w:w="160"/>
              <w:right w:type="dxa" w:w="80"/>
            </w:tcMar>
            <w:vAlign w:val="center"/>
          </w:tcPr>
          <w:p>
            <w:pPr>
              <w:jc w:val="center"/>
            </w:pPr>
            <w:r>
              <w:rPr>
                <w:rFonts w:ascii="Arial" w:cs="Arial" w:eastAsia="Arial" w:hAnsi="Arial"/>
                <w:b/>
                <w:bCs/>
                <w:color w:val="FFFFFF"/>
                <w:sz w:val="40"/>
                <w:szCs w:val="40"/>
              </w:rPr>
              <w:t xml:space="preserve">04</w:t>
            </w:r>
          </w:p>
        </w:tc>
        <w:tc>
          <w:tcPr>
            <w:tcW w:type="dxa" w:w="8560"/>
            <w:tcBorders>
              <w:top w:val="single" w:color="E5E7EB" w:sz="1"/>
              <w:left w:val="none" w:color="FFFFFF" w:sz="0"/>
              <w:bottom w:val="single" w:color="E5E7EB" w:sz="1"/>
              <w:right w:val="single" w:color="E5E7EB" w:sz="1"/>
            </w:tcBorders>
            <w:shd w:fill="FFFBEB" w:val="clear"/>
            <w:tcMar>
              <w:top w:type="dxa" w:w="160"/>
              <w:left w:type="dxa" w:w="200"/>
              <w:bottom w:type="dxa" w:w="160"/>
              <w:right w:type="dxa" w:w="160"/>
            </w:tcMar>
          </w:tcPr>
          <w:p>
            <w:pPr>
              <w:spacing w:after="60"/>
            </w:pPr>
            <w:r>
              <w:rPr>
                <w:rFonts w:ascii="Arial" w:cs="Arial" w:eastAsia="Arial" w:hAnsi="Arial"/>
                <w:b/>
                <w:bCs/>
                <w:color w:val="B45309"/>
                <w:sz w:val="24"/>
                <w:szCs w:val="24"/>
              </w:rPr>
              <w:t xml:space="preserve">Competitive Differentiation and Market Access</w:t>
            </w:r>
          </w:p>
          <w:p>
            <w:r>
              <w:rPr>
                <w:rFonts w:ascii="Georgia" w:cs="Georgia" w:eastAsia="Georgia" w:hAnsi="Georgia"/>
                <w:i/>
                <w:iCs/>
                <w:color w:val="4B5563"/>
                <w:sz w:val="20"/>
                <w:szCs w:val="20"/>
              </w:rPr>
              <w:t xml:space="preserve">Opens doors to enterprise, government, and international clients that require or strongly prefer certified vendors.</w:t>
            </w:r>
          </w:p>
        </w:tc>
      </w:tr>
    </w:tbl>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8560"/>
      </w:tblGrid>
      <w:tr>
        <w:tc>
          <w:tcPr>
            <w:tcW w:type="dxa" w:w="800"/>
            <w:tcBorders>
              <w:top w:val="single" w:color="E5E7EB" w:sz="1"/>
              <w:left w:val="single" w:color="E5E7EB" w:sz="1"/>
              <w:bottom w:val="single" w:color="E5E7EB" w:sz="1"/>
              <w:right w:val="none" w:color="FFFFFF" w:sz="0"/>
            </w:tcBorders>
            <w:shd w:fill="991B1B" w:val="clear"/>
            <w:tcMar>
              <w:top w:type="dxa" w:w="160"/>
              <w:left w:type="dxa" w:w="120"/>
              <w:bottom w:type="dxa" w:w="160"/>
              <w:right w:type="dxa" w:w="80"/>
            </w:tcMar>
            <w:vAlign w:val="center"/>
          </w:tcPr>
          <w:p>
            <w:pPr>
              <w:jc w:val="center"/>
            </w:pPr>
            <w:r>
              <w:rPr>
                <w:rFonts w:ascii="Arial" w:cs="Arial" w:eastAsia="Arial" w:hAnsi="Arial"/>
                <w:b/>
                <w:bCs/>
                <w:color w:val="FFFFFF"/>
                <w:sz w:val="40"/>
                <w:szCs w:val="40"/>
              </w:rPr>
              <w:t xml:space="preserve">05</w:t>
            </w:r>
          </w:p>
        </w:tc>
        <w:tc>
          <w:tcPr>
            <w:tcW w:type="dxa" w:w="8560"/>
            <w:tcBorders>
              <w:top w:val="single" w:color="E5E7EB" w:sz="1"/>
              <w:left w:val="none" w:color="FFFFFF" w:sz="0"/>
              <w:bottom w:val="single" w:color="E5E7EB" w:sz="1"/>
              <w:right w:val="single" w:color="E5E7EB" w:sz="1"/>
            </w:tcBorders>
            <w:shd w:fill="FEF2F2" w:val="clear"/>
            <w:tcMar>
              <w:top w:type="dxa" w:w="160"/>
              <w:left w:type="dxa" w:w="200"/>
              <w:bottom w:type="dxa" w:w="160"/>
              <w:right w:type="dxa" w:w="160"/>
            </w:tcMar>
          </w:tcPr>
          <w:p>
            <w:pPr>
              <w:spacing w:after="60"/>
            </w:pPr>
            <w:r>
              <w:rPr>
                <w:rFonts w:ascii="Arial" w:cs="Arial" w:eastAsia="Arial" w:hAnsi="Arial"/>
                <w:b/>
                <w:bCs/>
                <w:color w:val="991B1B"/>
                <w:sz w:val="24"/>
                <w:szCs w:val="24"/>
              </w:rPr>
              <w:t xml:space="preserve">Reduced Cost of Security Incidents</w:t>
            </w:r>
          </w:p>
          <w:p>
            <w:r>
              <w:rPr>
                <w:rFonts w:ascii="Georgia" w:cs="Georgia" w:eastAsia="Georgia" w:hAnsi="Georgia"/>
                <w:i/>
                <w:iCs/>
                <w:color w:val="4B5563"/>
                <w:sz w:val="20"/>
                <w:szCs w:val="20"/>
              </w:rPr>
              <w:t xml:space="preserve">Documented controls, faster incident response, and lower breach impact — with measurable financial implications.</w:t>
            </w:r>
          </w:p>
        </w:tc>
      </w:tr>
    </w:tbl>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8560"/>
      </w:tblGrid>
      <w:tr>
        <w:tc>
          <w:tcPr>
            <w:tcW w:type="dxa" w:w="800"/>
            <w:tcBorders>
              <w:top w:val="single" w:color="E5E7EB" w:sz="1"/>
              <w:left w:val="single" w:color="E5E7EB" w:sz="1"/>
              <w:bottom w:val="single" w:color="E5E7EB" w:sz="1"/>
              <w:right w:val="none" w:color="FFFFFF" w:sz="0"/>
            </w:tcBorders>
            <w:shd w:fill="0F766E" w:val="clear"/>
            <w:tcMar>
              <w:top w:type="dxa" w:w="160"/>
              <w:left w:type="dxa" w:w="120"/>
              <w:bottom w:type="dxa" w:w="160"/>
              <w:right w:type="dxa" w:w="80"/>
            </w:tcMar>
            <w:vAlign w:val="center"/>
          </w:tcPr>
          <w:p>
            <w:pPr>
              <w:jc w:val="center"/>
            </w:pPr>
            <w:r>
              <w:rPr>
                <w:rFonts w:ascii="Arial" w:cs="Arial" w:eastAsia="Arial" w:hAnsi="Arial"/>
                <w:b/>
                <w:bCs/>
                <w:color w:val="FFFFFF"/>
                <w:sz w:val="40"/>
                <w:szCs w:val="40"/>
              </w:rPr>
              <w:t xml:space="preserve">06</w:t>
            </w:r>
          </w:p>
        </w:tc>
        <w:tc>
          <w:tcPr>
            <w:tcW w:type="dxa" w:w="8560"/>
            <w:tcBorders>
              <w:top w:val="single" w:color="E5E7EB" w:sz="1"/>
              <w:left w:val="none" w:color="FFFFFF" w:sz="0"/>
              <w:bottom w:val="single" w:color="E5E7EB" w:sz="1"/>
              <w:right w:val="single" w:color="E5E7EB" w:sz="1"/>
            </w:tcBorders>
            <w:shd w:fill="F0FDFA" w:val="clear"/>
            <w:tcMar>
              <w:top w:type="dxa" w:w="160"/>
              <w:left w:type="dxa" w:w="200"/>
              <w:bottom w:type="dxa" w:w="160"/>
              <w:right w:type="dxa" w:w="160"/>
            </w:tcMar>
          </w:tcPr>
          <w:p>
            <w:pPr>
              <w:spacing w:after="60"/>
            </w:pPr>
            <w:r>
              <w:rPr>
                <w:rFonts w:ascii="Arial" w:cs="Arial" w:eastAsia="Arial" w:hAnsi="Arial"/>
                <w:b/>
                <w:bCs/>
                <w:color w:val="0F766E"/>
                <w:sz w:val="24"/>
                <w:szCs w:val="24"/>
              </w:rPr>
              <w:t xml:space="preserve">Organizational Security Culture</w:t>
            </w:r>
          </w:p>
          <w:p>
            <w:r>
              <w:rPr>
                <w:rFonts w:ascii="Georgia" w:cs="Georgia" w:eastAsia="Georgia" w:hAnsi="Georgia"/>
                <w:i/>
                <w:iCs/>
                <w:color w:val="4B5563"/>
                <w:sz w:val="20"/>
                <w:szCs w:val="20"/>
              </w:rPr>
              <w:t xml:space="preserve">Builds shared security awareness and accountability across all staff — not just the IT team.</w:t>
            </w:r>
          </w:p>
        </w:tc>
      </w:tr>
    </w:tbl>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8560"/>
      </w:tblGrid>
      <w:tr>
        <w:tc>
          <w:tcPr>
            <w:tcW w:type="dxa" w:w="800"/>
            <w:tcBorders>
              <w:top w:val="single" w:color="E5E7EB" w:sz="1"/>
              <w:left w:val="single" w:color="E5E7EB" w:sz="1"/>
              <w:bottom w:val="single" w:color="E5E7EB" w:sz="1"/>
              <w:right w:val="none" w:color="FFFFFF" w:sz="0"/>
            </w:tcBorders>
            <w:shd w:fill="6D28D9" w:val="clear"/>
            <w:tcMar>
              <w:top w:type="dxa" w:w="160"/>
              <w:left w:type="dxa" w:w="120"/>
              <w:bottom w:type="dxa" w:w="160"/>
              <w:right w:type="dxa" w:w="80"/>
            </w:tcMar>
            <w:vAlign w:val="center"/>
          </w:tcPr>
          <w:p>
            <w:pPr>
              <w:jc w:val="center"/>
            </w:pPr>
            <w:r>
              <w:rPr>
                <w:rFonts w:ascii="Arial" w:cs="Arial" w:eastAsia="Arial" w:hAnsi="Arial"/>
                <w:b/>
                <w:bCs/>
                <w:color w:val="FFFFFF"/>
                <w:sz w:val="40"/>
                <w:szCs w:val="40"/>
              </w:rPr>
              <w:t xml:space="preserve">07</w:t>
            </w:r>
          </w:p>
        </w:tc>
        <w:tc>
          <w:tcPr>
            <w:tcW w:type="dxa" w:w="8560"/>
            <w:tcBorders>
              <w:top w:val="single" w:color="E5E7EB" w:sz="1"/>
              <w:left w:val="none" w:color="FFFFFF" w:sz="0"/>
              <w:bottom w:val="single" w:color="E5E7EB" w:sz="1"/>
              <w:right w:val="single" w:color="E5E7EB" w:sz="1"/>
            </w:tcBorders>
            <w:shd w:fill="F5F3FF" w:val="clear"/>
            <w:tcMar>
              <w:top w:type="dxa" w:w="160"/>
              <w:left w:type="dxa" w:w="200"/>
              <w:bottom w:type="dxa" w:w="160"/>
              <w:right w:type="dxa" w:w="160"/>
            </w:tcMar>
          </w:tcPr>
          <w:p>
            <w:pPr>
              <w:spacing w:after="60"/>
            </w:pPr>
            <w:r>
              <w:rPr>
                <w:rFonts w:ascii="Arial" w:cs="Arial" w:eastAsia="Arial" w:hAnsi="Arial"/>
                <w:b/>
                <w:bCs/>
                <w:color w:val="6D28D9"/>
                <w:sz w:val="24"/>
                <w:szCs w:val="24"/>
              </w:rPr>
              <w:t xml:space="preserve">Operational Resilience and Business Continuity</w:t>
            </w:r>
          </w:p>
          <w:p>
            <w:r>
              <w:rPr>
                <w:rFonts w:ascii="Georgia" w:cs="Georgia" w:eastAsia="Georgia" w:hAnsi="Georgia"/>
                <w:i/>
                <w:iCs/>
                <w:color w:val="4B5563"/>
                <w:sz w:val="20"/>
                <w:szCs w:val="20"/>
              </w:rPr>
              <w:t xml:space="preserve">Embeds continuity thinking into security planning, so the organization can absorb disruptions without catastrophic impact.</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Benefit 1: Structured, Measurable Risk Reduction</w:t>
      </w:r>
    </w:p>
    <w:p>
      <w:pPr>
        <w:spacing w:after="80"/>
      </w:pPr>
      <w:r>
        <w:t xml:space="preserve"/>
      </w:r>
    </w:p>
    <w:p>
      <w:pPr>
        <w:spacing w:after="160" w:line="320"/>
        <w:jc w:val="both"/>
      </w:pPr>
      <w:r>
        <w:rPr>
          <w:rFonts w:ascii="Georgia" w:cs="Georgia" w:eastAsia="Georgia" w:hAnsi="Georgia"/>
          <w:color w:val="111827"/>
          <w:sz w:val="22"/>
          <w:szCs w:val="22"/>
        </w:rPr>
        <w:t xml:space="preserve">Before an ISMS, most organizations manage information security the way they manage their inbox — reactively, based on what is loud right now, with no systematic view of what is actually at risk. A vulnerability is patched because someone read about it on a security blog. A password policy is enforced because someone's account was compromised. Controls are added, removed, or ignored based on individual judgment and institutional memory.</w:t>
      </w:r>
    </w:p>
    <w:p>
      <w:pPr>
        <w:spacing w:after="80"/>
      </w:pPr>
      <w:r>
        <w:t xml:space="preserve"/>
      </w:r>
    </w:p>
    <w:p>
      <w:pPr>
        <w:spacing w:after="160" w:line="320"/>
        <w:jc w:val="both"/>
      </w:pPr>
      <w:r>
        <w:rPr>
          <w:rFonts w:ascii="Georgia" w:cs="Georgia" w:eastAsia="Georgia" w:hAnsi="Georgia"/>
          <w:color w:val="111827"/>
          <w:sz w:val="22"/>
          <w:szCs w:val="22"/>
        </w:rPr>
        <w:t xml:space="preserve">ISO 27001 replaces this with a process: identify your assets, assess the threats and vulnerabilities that could affect them, determine the likelihood and impact of risks materializing, select controls to treat the significant ones, and review the whole picture regularly. This is not a radical idea — it is just applied systematically, with documentation, ownership, and accountability at every step.</w:t>
      </w:r>
    </w:p>
    <w:p>
      <w:pPr>
        <w:spacing w:after="80"/>
      </w:pPr>
      <w:r>
        <w:t xml:space="preserve"/>
      </w:r>
    </w:p>
    <w:p>
      <w:pPr>
        <w:spacing w:after="160" w:line="320"/>
        <w:jc w:val="both"/>
      </w:pPr>
      <w:r>
        <w:rPr>
          <w:rFonts w:ascii="Georgia" w:cs="Georgia" w:eastAsia="Georgia" w:hAnsi="Georgia"/>
          <w:color w:val="111827"/>
          <w:sz w:val="22"/>
          <w:szCs w:val="22"/>
        </w:rPr>
        <w:t xml:space="preserve">The result is measurable. After completing a risk assessment, an organization knows which risks are high, which controls are in place, and which gaps exist. After implementing controls, the residual risk can be compared to the original. After an audit, the gap between stated policy and actual practice is documented. This creates a feedback loop that genuinely improves security posture over time — not as a theory, but as evidence.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DATA POINT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Organizations with a mature ISMS typically identify 30–50% more significant risks in their first formal risk assessment than they had previously documented — not because new risks appeared, but because the structured process surfaces what informal approaches miss.</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Benefit 2: Regulatory Compliance Alignment</w:t>
      </w:r>
    </w:p>
    <w:p>
      <w:pPr>
        <w:spacing w:after="80"/>
      </w:pPr>
      <w:r>
        <w:t xml:space="preserve"/>
      </w:r>
    </w:p>
    <w:p>
      <w:pPr>
        <w:spacing w:after="160" w:line="320"/>
        <w:jc w:val="both"/>
      </w:pPr>
      <w:r>
        <w:rPr>
          <w:rFonts w:ascii="Georgia" w:cs="Georgia" w:eastAsia="Georgia" w:hAnsi="Georgia"/>
          <w:color w:val="111827"/>
          <w:sz w:val="22"/>
          <w:szCs w:val="22"/>
        </w:rPr>
        <w:t xml:space="preserve">For organizations operating in Indonesia's regulated industries, this is increasingly the most urgent benefit. The regulatory environment has changed materially since UU PDP came into enforcement in late 2024, and OJK and Bank Indonesia have both been tightening their IT governance requirements for financial services.</w:t>
      </w:r>
    </w:p>
    <w:p>
      <w:pPr>
        <w:spacing w:after="80"/>
      </w:pPr>
      <w:r>
        <w:t xml:space="preserve"/>
      </w:r>
    </w:p>
    <w:p>
      <w:pPr>
        <w:spacing w:after="160" w:line="320"/>
        <w:jc w:val="both"/>
      </w:pPr>
      <w:r>
        <w:rPr>
          <w:rFonts w:ascii="Georgia" w:cs="Georgia" w:eastAsia="Georgia" w:hAnsi="Georgia"/>
          <w:color w:val="111827"/>
          <w:sz w:val="22"/>
          <w:szCs w:val="22"/>
        </w:rPr>
        <w:t xml:space="preserve">ISO 27001 does not satisfy every Indonesian regulatory requirement by itself — but it provides the structural foundation that makes satisfying those requirements far more tractable. The table below maps the major Indonesian regulations to the ISO 27001 elements that address them:</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200"/>
        <w:gridCol w:w="2560"/>
        <w:gridCol w:w="26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30"/>
              <w:bottom w:type="dxa" w:w="90"/>
              <w:right w:type="dxa" w:w="130"/>
            </w:tcMar>
          </w:tcPr>
          <w:p>
            <w:r>
              <w:rPr>
                <w:rFonts w:ascii="Arial" w:cs="Arial" w:eastAsia="Arial" w:hAnsi="Arial"/>
                <w:b/>
                <w:bCs/>
                <w:color w:val="FFFFFF"/>
                <w:sz w:val="20"/>
                <w:szCs w:val="20"/>
              </w:rPr>
              <w:t xml:space="preserve">Regulation</w:t>
            </w:r>
          </w:p>
        </w:tc>
        <w:tc>
          <w:tcPr>
            <w:tcW w:type="dxa" w:w="2200"/>
            <w:tcBorders>
              <w:top w:val="single" w:color="DBEAFE" w:sz="1"/>
              <w:left w:val="single" w:color="DBEAFE" w:sz="1"/>
              <w:bottom w:val="single" w:color="DBEAFE" w:sz="1"/>
              <w:right w:val="single" w:color="DBEAFE" w:sz="1"/>
            </w:tcBorders>
            <w:shd w:fill="1B3A5C" w:val="clear"/>
            <w:tcMar>
              <w:top w:type="dxa" w:w="90"/>
              <w:left w:type="dxa" w:w="130"/>
              <w:bottom w:type="dxa" w:w="90"/>
              <w:right w:type="dxa" w:w="130"/>
            </w:tcMar>
          </w:tcPr>
          <w:p>
            <w:r>
              <w:rPr>
                <w:rFonts w:ascii="Arial" w:cs="Arial" w:eastAsia="Arial" w:hAnsi="Arial"/>
                <w:b/>
                <w:bCs/>
                <w:color w:val="FFFFFF"/>
                <w:sz w:val="20"/>
                <w:szCs w:val="20"/>
              </w:rPr>
              <w:t xml:space="preserve">Who it applies to</w:t>
            </w:r>
          </w:p>
        </w:tc>
        <w:tc>
          <w:tcPr>
            <w:tcW w:type="dxa" w:w="2560"/>
            <w:tcBorders>
              <w:top w:val="single" w:color="DBEAFE" w:sz="1"/>
              <w:left w:val="single" w:color="DBEAFE" w:sz="1"/>
              <w:bottom w:val="single" w:color="DBEAFE" w:sz="1"/>
              <w:right w:val="single" w:color="DBEAFE" w:sz="1"/>
            </w:tcBorders>
            <w:shd w:fill="1B3A5C" w:val="clear"/>
            <w:tcMar>
              <w:top w:type="dxa" w:w="90"/>
              <w:left w:type="dxa" w:w="130"/>
              <w:bottom w:type="dxa" w:w="90"/>
              <w:right w:type="dxa" w:w="130"/>
            </w:tcMar>
          </w:tcPr>
          <w:p>
            <w:r>
              <w:rPr>
                <w:rFonts w:ascii="Arial" w:cs="Arial" w:eastAsia="Arial" w:hAnsi="Arial"/>
                <w:b/>
                <w:bCs/>
                <w:color w:val="FFFFFF"/>
                <w:sz w:val="20"/>
                <w:szCs w:val="20"/>
              </w:rPr>
              <w:t xml:space="preserve">Security requirement</w:t>
            </w:r>
          </w:p>
        </w:tc>
        <w:tc>
          <w:tcPr>
            <w:tcW w:type="dxa" w:w="2600"/>
            <w:tcBorders>
              <w:top w:val="single" w:color="DBEAFE" w:sz="1"/>
              <w:left w:val="single" w:color="DBEAFE" w:sz="1"/>
              <w:bottom w:val="single" w:color="DBEAFE" w:sz="1"/>
              <w:right w:val="single" w:color="DBEAFE" w:sz="1"/>
            </w:tcBorders>
            <w:shd w:fill="1B3A5C" w:val="clear"/>
            <w:tcMar>
              <w:top w:type="dxa" w:w="90"/>
              <w:left w:type="dxa" w:w="130"/>
              <w:bottom w:type="dxa" w:w="90"/>
              <w:right w:type="dxa" w:w="130"/>
            </w:tcMar>
          </w:tcPr>
          <w:p>
            <w:r>
              <w:rPr>
                <w:rFonts w:ascii="Arial" w:cs="Arial" w:eastAsia="Arial" w:hAnsi="Arial"/>
                <w:b/>
                <w:bCs/>
                <w:color w:val="FFFFFF"/>
                <w:sz w:val="20"/>
                <w:szCs w:val="20"/>
              </w:rPr>
              <w:t xml:space="preserve">ISO 27001 alignment</w:t>
            </w:r>
          </w:p>
        </w:tc>
      </w:tr>
      <w:tr>
        <w:tc>
          <w:tcPr>
            <w:tcW w:type="dxa" w:w="200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i w:val="false"/>
                <w:iCs w:val="false"/>
                <w:color w:val="111827"/>
                <w:sz w:val="20"/>
                <w:szCs w:val="20"/>
              </w:rPr>
              <w:t xml:space="preserve">UU PDP No. 27/2022</w:t>
            </w:r>
          </w:p>
        </w:tc>
        <w:tc>
          <w:tcPr>
            <w:tcW w:type="dxa" w:w="220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i w:val="false"/>
                <w:iCs w:val="false"/>
                <w:color w:val="111827"/>
                <w:sz w:val="20"/>
                <w:szCs w:val="20"/>
              </w:rPr>
              <w:t xml:space="preserve">Personal data controllers &amp; processors in all sectors</w:t>
            </w:r>
          </w:p>
        </w:tc>
        <w:tc>
          <w:tcPr>
            <w:tcW w:type="dxa" w:w="256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i w:val="false"/>
                <w:iCs w:val="false"/>
                <w:color w:val="111827"/>
                <w:sz w:val="20"/>
                <w:szCs w:val="20"/>
              </w:rPr>
              <w:t xml:space="preserve">Article 35–37: Technical &amp; organizational security measures</w:t>
            </w:r>
          </w:p>
        </w:tc>
        <w:tc>
          <w:tcPr>
            <w:tcW w:type="dxa" w:w="2600"/>
            <w:tcBorders>
              <w:top w:val="single" w:color="DBEAFE" w:sz="1"/>
              <w:left w:val="single" w:color="DBEAFE" w:sz="1"/>
              <w:bottom w:val="single" w:color="DBEAFE" w:sz="1"/>
              <w:right w:val="single" w:color="DBEAFE" w:sz="1"/>
            </w:tcBorders>
            <w:shd w:fill="ECFDF5" w:val="clear"/>
            <w:tcMar>
              <w:top w:type="dxa" w:w="90"/>
              <w:left w:type="dxa" w:w="130"/>
              <w:bottom w:type="dxa" w:w="90"/>
              <w:right w:type="dxa" w:w="130"/>
            </w:tcMar>
          </w:tcPr>
          <w:p>
            <w:r>
              <w:rPr>
                <w:rFonts w:ascii="Georgia" w:cs="Georgia" w:eastAsia="Georgia" w:hAnsi="Georgia"/>
                <w:i/>
                <w:iCs/>
                <w:color w:val="111827"/>
                <w:sz w:val="20"/>
                <w:szCs w:val="20"/>
              </w:rPr>
              <w:t xml:space="preserve">High — controls map directly to UU PDP obligations</w:t>
            </w:r>
          </w:p>
        </w:tc>
      </w:tr>
      <w:tr>
        <w:tc>
          <w:tcPr>
            <w:tcW w:type="dxa" w:w="200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r>
              <w:rPr>
                <w:rFonts w:ascii="Georgia" w:cs="Georgia" w:eastAsia="Georgia" w:hAnsi="Georgia"/>
                <w:i w:val="false"/>
                <w:iCs w:val="false"/>
                <w:color w:val="111827"/>
                <w:sz w:val="20"/>
                <w:szCs w:val="20"/>
              </w:rPr>
              <w:t xml:space="preserve">POJK 11/POJK.03/2022</w:t>
            </w:r>
          </w:p>
        </w:tc>
        <w:tc>
          <w:tcPr>
            <w:tcW w:type="dxa" w:w="220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r>
              <w:rPr>
                <w:rFonts w:ascii="Georgia" w:cs="Georgia" w:eastAsia="Georgia" w:hAnsi="Georgia"/>
                <w:i w:val="false"/>
                <w:iCs w:val="false"/>
                <w:color w:val="111827"/>
                <w:sz w:val="20"/>
                <w:szCs w:val="20"/>
              </w:rPr>
              <w:t xml:space="preserve">Banks, multifinance, insurance companies</w:t>
            </w:r>
          </w:p>
        </w:tc>
        <w:tc>
          <w:tcPr>
            <w:tcW w:type="dxa" w:w="25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r>
              <w:rPr>
                <w:rFonts w:ascii="Georgia" w:cs="Georgia" w:eastAsia="Georgia" w:hAnsi="Georgia"/>
                <w:i w:val="false"/>
                <w:iCs w:val="false"/>
                <w:color w:val="111827"/>
                <w:sz w:val="20"/>
                <w:szCs w:val="20"/>
              </w:rPr>
              <w:t xml:space="preserve">IT risk management, information security governance</w:t>
            </w:r>
          </w:p>
        </w:tc>
        <w:tc>
          <w:tcPr>
            <w:tcW w:type="dxa" w:w="2600"/>
            <w:tcBorders>
              <w:top w:val="single" w:color="DBEAFE" w:sz="1"/>
              <w:left w:val="single" w:color="DBEAFE" w:sz="1"/>
              <w:bottom w:val="single" w:color="DBEAFE" w:sz="1"/>
              <w:right w:val="single" w:color="DBEAFE" w:sz="1"/>
            </w:tcBorders>
            <w:shd w:fill="F0FDF4" w:val="clear"/>
            <w:tcMar>
              <w:top w:type="dxa" w:w="90"/>
              <w:left w:type="dxa" w:w="130"/>
              <w:bottom w:type="dxa" w:w="90"/>
              <w:right w:type="dxa" w:w="130"/>
            </w:tcMar>
          </w:tcPr>
          <w:p>
            <w:r>
              <w:rPr>
                <w:rFonts w:ascii="Georgia" w:cs="Georgia" w:eastAsia="Georgia" w:hAnsi="Georgia"/>
                <w:i/>
                <w:iCs/>
                <w:color w:val="111827"/>
                <w:sz w:val="20"/>
                <w:szCs w:val="20"/>
              </w:rPr>
              <w:t xml:space="preserve">High — ISMS satisfies core IT governance requirements</w:t>
            </w:r>
          </w:p>
        </w:tc>
      </w:tr>
      <w:tr>
        <w:tc>
          <w:tcPr>
            <w:tcW w:type="dxa" w:w="200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i w:val="false"/>
                <w:iCs w:val="false"/>
                <w:color w:val="111827"/>
                <w:sz w:val="20"/>
                <w:szCs w:val="20"/>
              </w:rPr>
              <w:t xml:space="preserve">PBI No. 23/6/PBI/2021</w:t>
            </w:r>
          </w:p>
        </w:tc>
        <w:tc>
          <w:tcPr>
            <w:tcW w:type="dxa" w:w="220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i w:val="false"/>
                <w:iCs w:val="false"/>
                <w:color w:val="111827"/>
                <w:sz w:val="20"/>
                <w:szCs w:val="20"/>
              </w:rPr>
              <w:t xml:space="preserve">Payment system operators, fintech, e-money issuers</w:t>
            </w:r>
          </w:p>
        </w:tc>
        <w:tc>
          <w:tcPr>
            <w:tcW w:type="dxa" w:w="256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i w:val="false"/>
                <w:iCs w:val="false"/>
                <w:color w:val="111827"/>
                <w:sz w:val="20"/>
                <w:szCs w:val="20"/>
              </w:rPr>
              <w:t xml:space="preserve">IT security, data protection, incident reporting</w:t>
            </w:r>
          </w:p>
        </w:tc>
        <w:tc>
          <w:tcPr>
            <w:tcW w:type="dxa" w:w="2600"/>
            <w:tcBorders>
              <w:top w:val="single" w:color="DBEAFE" w:sz="1"/>
              <w:left w:val="single" w:color="DBEAFE" w:sz="1"/>
              <w:bottom w:val="single" w:color="DBEAFE" w:sz="1"/>
              <w:right w:val="single" w:color="DBEAFE" w:sz="1"/>
            </w:tcBorders>
            <w:shd w:fill="ECFDF5" w:val="clear"/>
            <w:tcMar>
              <w:top w:type="dxa" w:w="90"/>
              <w:left w:type="dxa" w:w="130"/>
              <w:bottom w:type="dxa" w:w="90"/>
              <w:right w:type="dxa" w:w="130"/>
            </w:tcMar>
          </w:tcPr>
          <w:p>
            <w:r>
              <w:rPr>
                <w:rFonts w:ascii="Georgia" w:cs="Georgia" w:eastAsia="Georgia" w:hAnsi="Georgia"/>
                <w:i/>
                <w:iCs/>
                <w:color w:val="111827"/>
                <w:sz w:val="20"/>
                <w:szCs w:val="20"/>
              </w:rPr>
              <w:t xml:space="preserve">High — ISMS provides documented incident management</w:t>
            </w:r>
          </w:p>
        </w:tc>
      </w:tr>
      <w:tr>
        <w:tc>
          <w:tcPr>
            <w:tcW w:type="dxa" w:w="200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r>
              <w:rPr>
                <w:rFonts w:ascii="Georgia" w:cs="Georgia" w:eastAsia="Georgia" w:hAnsi="Georgia"/>
                <w:i w:val="false"/>
                <w:iCs w:val="false"/>
                <w:color w:val="111827"/>
                <w:sz w:val="20"/>
                <w:szCs w:val="20"/>
              </w:rPr>
              <w:t xml:space="preserve">BSSN Circular on SMKI</w:t>
            </w:r>
          </w:p>
        </w:tc>
        <w:tc>
          <w:tcPr>
            <w:tcW w:type="dxa" w:w="220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r>
              <w:rPr>
                <w:rFonts w:ascii="Georgia" w:cs="Georgia" w:eastAsia="Georgia" w:hAnsi="Georgia"/>
                <w:i w:val="false"/>
                <w:iCs w:val="false"/>
                <w:color w:val="111827"/>
                <w:sz w:val="20"/>
                <w:szCs w:val="20"/>
              </w:rPr>
              <w:t xml:space="preserve">Critical information infrastructure operators</w:t>
            </w:r>
          </w:p>
        </w:tc>
        <w:tc>
          <w:tcPr>
            <w:tcW w:type="dxa" w:w="25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r>
              <w:rPr>
                <w:rFonts w:ascii="Georgia" w:cs="Georgia" w:eastAsia="Georgia" w:hAnsi="Georgia"/>
                <w:i w:val="false"/>
                <w:iCs w:val="false"/>
                <w:color w:val="111827"/>
                <w:sz w:val="20"/>
                <w:szCs w:val="20"/>
              </w:rPr>
              <w:t xml:space="preserve">SMKI (ISMS) implementation guidance</w:t>
            </w:r>
          </w:p>
        </w:tc>
        <w:tc>
          <w:tcPr>
            <w:tcW w:type="dxa" w:w="2600"/>
            <w:tcBorders>
              <w:top w:val="single" w:color="DBEAFE" w:sz="1"/>
              <w:left w:val="single" w:color="DBEAFE" w:sz="1"/>
              <w:bottom w:val="single" w:color="DBEAFE" w:sz="1"/>
              <w:right w:val="single" w:color="DBEAFE" w:sz="1"/>
            </w:tcBorders>
            <w:shd w:fill="F0FDF4" w:val="clear"/>
            <w:tcMar>
              <w:top w:type="dxa" w:w="90"/>
              <w:left w:type="dxa" w:w="130"/>
              <w:bottom w:type="dxa" w:w="90"/>
              <w:right w:type="dxa" w:w="130"/>
            </w:tcMar>
          </w:tcPr>
          <w:p>
            <w:r>
              <w:rPr>
                <w:rFonts w:ascii="Georgia" w:cs="Georgia" w:eastAsia="Georgia" w:hAnsi="Georgia"/>
                <w:i/>
                <w:iCs/>
                <w:color w:val="111827"/>
                <w:sz w:val="20"/>
                <w:szCs w:val="20"/>
              </w:rPr>
              <w:t xml:space="preserve">Direct — BSSN references ISO 27001 by name</w:t>
            </w:r>
          </w:p>
        </w:tc>
      </w:tr>
      <w:tr>
        <w:tc>
          <w:tcPr>
            <w:tcW w:type="dxa" w:w="200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i w:val="false"/>
                <w:iCs w:val="false"/>
                <w:color w:val="111827"/>
                <w:sz w:val="20"/>
                <w:szCs w:val="20"/>
              </w:rPr>
              <w:t xml:space="preserve">Government Procurement (LKPP)</w:t>
            </w:r>
          </w:p>
        </w:tc>
        <w:tc>
          <w:tcPr>
            <w:tcW w:type="dxa" w:w="220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i w:val="false"/>
                <w:iCs w:val="false"/>
                <w:color w:val="111827"/>
                <w:sz w:val="20"/>
                <w:szCs w:val="20"/>
              </w:rPr>
              <w:t xml:space="preserve">Vendors supplying IT to government agencies</w:t>
            </w:r>
          </w:p>
        </w:tc>
        <w:tc>
          <w:tcPr>
            <w:tcW w:type="dxa" w:w="256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i w:val="false"/>
                <w:iCs w:val="false"/>
                <w:color w:val="111827"/>
                <w:sz w:val="20"/>
                <w:szCs w:val="20"/>
              </w:rPr>
              <w:t xml:space="preserve">Vendor security qualification criteria</w:t>
            </w:r>
          </w:p>
        </w:tc>
        <w:tc>
          <w:tcPr>
            <w:tcW w:type="dxa" w:w="2600"/>
            <w:tcBorders>
              <w:top w:val="single" w:color="DBEAFE" w:sz="1"/>
              <w:left w:val="single" w:color="DBEAFE" w:sz="1"/>
              <w:bottom w:val="single" w:color="DBEAFE" w:sz="1"/>
              <w:right w:val="single" w:color="DBEAFE" w:sz="1"/>
            </w:tcBorders>
            <w:shd w:fill="ECFDF5" w:val="clear"/>
            <w:tcMar>
              <w:top w:type="dxa" w:w="90"/>
              <w:left w:type="dxa" w:w="130"/>
              <w:bottom w:type="dxa" w:w="90"/>
              <w:right w:type="dxa" w:w="130"/>
            </w:tcMar>
          </w:tcPr>
          <w:p>
            <w:r>
              <w:rPr>
                <w:rFonts w:ascii="Georgia" w:cs="Georgia" w:eastAsia="Georgia" w:hAnsi="Georgia"/>
                <w:i/>
                <w:iCs/>
                <w:color w:val="111827"/>
                <w:sz w:val="20"/>
                <w:szCs w:val="20"/>
              </w:rPr>
              <w:t xml:space="preserve">Medium-High — ISO 27001 increasingly listed in RFPs</w:t>
            </w:r>
          </w:p>
        </w:tc>
      </w:tr>
    </w:tbl>
    <w:p>
      <w:pPr>
        <w:spacing w:after="160"/>
      </w:pPr>
      <w:r>
        <w:t xml:space="preserve"/>
      </w:r>
    </w:p>
    <w:p>
      <w:pPr>
        <w:spacing w:after="160" w:line="320"/>
        <w:jc w:val="both"/>
      </w:pPr>
      <w:r>
        <w:rPr>
          <w:rFonts w:ascii="Georgia" w:cs="Georgia" w:eastAsia="Georgia" w:hAnsi="Georgia"/>
          <w:color w:val="111827"/>
          <w:sz w:val="22"/>
          <w:szCs w:val="22"/>
        </w:rPr>
        <w:t xml:space="preserve">The practical implication is significant: an organization with a well-implemented ISO 27001 ISMS has already done most of the work required to demonstrate compliance with UU PDP's security obligations, OJK's IT risk management requirements, and BI's data protection provisions. Without it, each regulatory requirement must be addressed separately — often by different teams, with different documentation, and with no common framework to show regulators.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7F3D0" w:sz="1"/>
              <w:left w:val="single" w:color="0E9F6E" w:sz="12"/>
              <w:bottom w:val="single" w:color="A7F3D0" w:sz="1"/>
              <w:right w:val="single" w:color="A7F3D0"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2026 Insight: Following the first wave of UU PDP enforcement actions in Q1 2026, Indonesian regulators are placing increasing weight on documented, auditable security programs as evidence of good-faith compliance. An ISO 27001 certificate from an accredited body carries substantially more weight in a regulatory investigation than an internally produced security policy document.</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Benefit 3: Customer and Partner Trust</w:t>
      </w:r>
    </w:p>
    <w:p>
      <w:pPr>
        <w:spacing w:after="80"/>
      </w:pPr>
      <w:r>
        <w:t xml:space="preserve"/>
      </w:r>
    </w:p>
    <w:p>
      <w:pPr>
        <w:spacing w:after="160" w:line="320"/>
        <w:jc w:val="both"/>
      </w:pPr>
      <w:r>
        <w:rPr>
          <w:rFonts w:ascii="Georgia" w:cs="Georgia" w:eastAsia="Georgia" w:hAnsi="Georgia"/>
          <w:color w:val="111827"/>
          <w:sz w:val="22"/>
          <w:szCs w:val="22"/>
        </w:rPr>
        <w:t xml:space="preserve">Every significant enterprise client, every large partner, and every government agency that does business with technology vendors has a security questionnaire. It might be a 20-question form or a 400-item vendor risk assessment. Either way, it takes time — yours and theirs — and it rarely produces a definitive answer about your actual security posture.</w:t>
      </w:r>
    </w:p>
    <w:p>
      <w:pPr>
        <w:spacing w:after="80"/>
      </w:pPr>
      <w:r>
        <w:t xml:space="preserve"/>
      </w:r>
    </w:p>
    <w:p>
      <w:pPr>
        <w:spacing w:after="160" w:line="320"/>
        <w:jc w:val="both"/>
      </w:pPr>
      <w:r>
        <w:rPr>
          <w:rFonts w:ascii="Georgia" w:cs="Georgia" w:eastAsia="Georgia" w:hAnsi="Georgia"/>
          <w:color w:val="111827"/>
          <w:sz w:val="22"/>
          <w:szCs w:val="22"/>
        </w:rPr>
        <w:t xml:space="preserve">ISO 27001 certification changes this dynamic fundamentally. When a client asks about your security program, you can provide a certificate issued by an accredited independent body, confirming that your ISMS was assessed against an internationally recognized standard and found to be in conformance. For most enterprise and government procurement requirements, this replaces or substantially shortens the questionnaire process.</w:t>
      </w:r>
    </w:p>
    <w:p>
      <w:pPr>
        <w:spacing w:after="80"/>
      </w:pPr>
      <w:r>
        <w:t xml:space="preserve"/>
      </w:r>
    </w:p>
    <w:p>
      <w:pPr>
        <w:spacing w:after="160" w:line="320"/>
        <w:jc w:val="both"/>
      </w:pPr>
      <w:r>
        <w:rPr>
          <w:rFonts w:ascii="Georgia" w:cs="Georgia" w:eastAsia="Georgia" w:hAnsi="Georgia"/>
          <w:color w:val="111827"/>
          <w:sz w:val="22"/>
          <w:szCs w:val="22"/>
        </w:rPr>
        <w:t xml:space="preserve">This is not just a time saving — it is a trust signal of a different quality. A completed questionnaire is your organization describing itself. An ISO 27001 certificate is an independent third party verifying you. Those are very different things in the mind of a procurement officer, a CTO conducting vendor due diligence, or a regulator reviewing your security posture.</w:t>
      </w:r>
    </w:p>
    <w:p>
      <w:pPr>
        <w:spacing w:after="80"/>
      </w:pPr>
      <w:r>
        <w:t xml:space="preserve"/>
      </w:r>
    </w:p>
    <w:p>
      <w:pPr>
        <w:pStyle w:val="Heading3"/>
        <w:spacing w:after="120" w:before="280"/>
      </w:pPr>
      <w:r>
        <w:rPr>
          <w:rFonts w:ascii="Arial" w:cs="Arial" w:eastAsia="Arial" w:hAnsi="Arial"/>
          <w:b/>
          <w:bCs/>
          <w:color w:val="2563A8"/>
          <w:sz w:val="24"/>
          <w:szCs w:val="24"/>
        </w:rPr>
        <w:t xml:space="preserve">The Due Diligence Economy</w:t>
      </w:r>
    </w:p>
    <w:p>
      <w:pPr>
        <w:spacing w:after="80"/>
      </w:pPr>
      <w:r>
        <w:t xml:space="preserve"/>
      </w:r>
    </w:p>
    <w:p>
      <w:pPr>
        <w:spacing w:after="160" w:line="320"/>
        <w:jc w:val="both"/>
      </w:pPr>
      <w:r>
        <w:rPr>
          <w:rFonts w:ascii="Georgia" w:cs="Georgia" w:eastAsia="Georgia" w:hAnsi="Georgia"/>
          <w:color w:val="111827"/>
          <w:sz w:val="22"/>
          <w:szCs w:val="22"/>
        </w:rPr>
        <w:t xml:space="preserve">In 2026, with supply chain attacks having become a dominant attack vector globally, enterprise buyers are under pressure to verify their vendors rather than simply trust their answers. ISO 27001 certification reduces your customer's own compliance burden — because their regulators and auditors will accept a certified vendor more readily than an uncertified one. This means certification is not just good for you; it actively helps your clients manage their own risk programs.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F6E4" w:sz="1"/>
              <w:left w:val="single" w:color="0F766E" w:sz="12"/>
              <w:bottom w:val="single" w:color="99F6E4" w:sz="1"/>
              <w:right w:val="single" w:color="99F6E4"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Market observation: In Bitlion's work with Indonesian financial services clients, we consistently see ISO 27001 certification accelerating procurement decisions by 4–8 weeks on average — not because buyers trust certified organizations blindly, but because the certification reduces the due diligence workload enough to move to contract faster.</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Benefit 4: Competitive Differentiation and Market Access</w:t>
      </w:r>
    </w:p>
    <w:p>
      <w:pPr>
        <w:spacing w:after="80"/>
      </w:pPr>
      <w:r>
        <w:t xml:space="preserve"/>
      </w:r>
    </w:p>
    <w:p>
      <w:pPr>
        <w:spacing w:after="160" w:line="320"/>
        <w:jc w:val="both"/>
      </w:pPr>
      <w:r>
        <w:rPr>
          <w:rFonts w:ascii="Georgia" w:cs="Georgia" w:eastAsia="Georgia" w:hAnsi="Georgia"/>
          <w:color w:val="111827"/>
          <w:sz w:val="22"/>
          <w:szCs w:val="22"/>
        </w:rPr>
        <w:t xml:space="preserve">The market access benefit of ISO 27001 is concrete and increasingly measurable. Three specific market segments are affected most directly.</w:t>
      </w:r>
    </w:p>
    <w:p>
      <w:pPr>
        <w:spacing w:after="80"/>
      </w:pPr>
      <w:r>
        <w:t xml:space="preserve"/>
      </w:r>
    </w:p>
    <w:p>
      <w:pPr>
        <w:pStyle w:val="Heading3"/>
        <w:spacing w:after="120" w:before="280"/>
      </w:pPr>
      <w:r>
        <w:rPr>
          <w:rFonts w:ascii="Arial" w:cs="Arial" w:eastAsia="Arial" w:hAnsi="Arial"/>
          <w:b/>
          <w:bCs/>
          <w:color w:val="2563A8"/>
          <w:sz w:val="24"/>
          <w:szCs w:val="24"/>
        </w:rPr>
        <w:t xml:space="preserve">Government and Public Sector Procurement</w:t>
      </w:r>
    </w:p>
    <w:p>
      <w:pPr>
        <w:spacing w:after="80"/>
      </w:pPr>
      <w:r>
        <w:t xml:space="preserve"/>
      </w:r>
    </w:p>
    <w:p>
      <w:pPr>
        <w:spacing w:after="160" w:line="320"/>
        <w:jc w:val="both"/>
      </w:pPr>
      <w:r>
        <w:rPr>
          <w:rFonts w:ascii="Georgia" w:cs="Georgia" w:eastAsia="Georgia" w:hAnsi="Georgia"/>
          <w:color w:val="111827"/>
          <w:sz w:val="22"/>
          <w:szCs w:val="22"/>
        </w:rPr>
        <w:t xml:space="preserve">Indonesia's government procurement system has been increasingly incorporating information security requirements into vendor qualification criteria. ISO 27001 certification is referenced in BSSN's guidance on information security management systems and appears in RFP requirements for IT and technology vendors supplying to ministries, SOEs, and regional government agencies. Without certification, vendors are frequently disqualified at the initial screening stage — before price or capability are even evaluated.</w:t>
      </w:r>
    </w:p>
    <w:p>
      <w:pPr>
        <w:spacing w:after="80"/>
      </w:pPr>
      <w:r>
        <w:t xml:space="preserve"/>
      </w:r>
    </w:p>
    <w:p>
      <w:pPr>
        <w:pStyle w:val="Heading3"/>
        <w:spacing w:after="120" w:before="280"/>
      </w:pPr>
      <w:r>
        <w:rPr>
          <w:rFonts w:ascii="Arial" w:cs="Arial" w:eastAsia="Arial" w:hAnsi="Arial"/>
          <w:b/>
          <w:bCs/>
          <w:color w:val="2563A8"/>
          <w:sz w:val="24"/>
          <w:szCs w:val="24"/>
        </w:rPr>
        <w:t xml:space="preserve">Regulated Financial Services</w:t>
      </w:r>
    </w:p>
    <w:p>
      <w:pPr>
        <w:spacing w:after="80"/>
      </w:pPr>
      <w:r>
        <w:t xml:space="preserve"/>
      </w:r>
    </w:p>
    <w:p>
      <w:pPr>
        <w:spacing w:after="160" w:line="320"/>
        <w:jc w:val="both"/>
      </w:pPr>
      <w:r>
        <w:rPr>
          <w:rFonts w:ascii="Georgia" w:cs="Georgia" w:eastAsia="Georgia" w:hAnsi="Georgia"/>
          <w:color w:val="111827"/>
          <w:sz w:val="22"/>
          <w:szCs w:val="22"/>
        </w:rPr>
        <w:t xml:space="preserve">Banks, multifinance companies, insurance firms, and payment system operators subject to OJK and BI oversight are under growing pressure to demonstrate that their technology vendors and cloud providers meet security standards. ISO 27001 certification has become a de facto requirement in many vendor onboarding processes for financial institutions — if you are selling technology services to the Indonesian financial sector without it, you will increasingly find doors closed.</w:t>
      </w:r>
    </w:p>
    <w:p>
      <w:pPr>
        <w:spacing w:after="80"/>
      </w:pPr>
      <w:r>
        <w:t xml:space="preserve"/>
      </w:r>
    </w:p>
    <w:p>
      <w:pPr>
        <w:pStyle w:val="Heading3"/>
        <w:spacing w:after="120" w:before="280"/>
      </w:pPr>
      <w:r>
        <w:rPr>
          <w:rFonts w:ascii="Arial" w:cs="Arial" w:eastAsia="Arial" w:hAnsi="Arial"/>
          <w:b/>
          <w:bCs/>
          <w:color w:val="2563A8"/>
          <w:sz w:val="24"/>
          <w:szCs w:val="24"/>
        </w:rPr>
        <w:t xml:space="preserve">International and Multinational Clients</w:t>
      </w:r>
    </w:p>
    <w:p>
      <w:pPr>
        <w:spacing w:after="80"/>
      </w:pPr>
      <w:r>
        <w:t xml:space="preserve"/>
      </w:r>
    </w:p>
    <w:p>
      <w:pPr>
        <w:spacing w:after="160" w:line="320"/>
        <w:jc w:val="both"/>
      </w:pPr>
      <w:r>
        <w:rPr>
          <w:rFonts w:ascii="Georgia" w:cs="Georgia" w:eastAsia="Georgia" w:hAnsi="Georgia"/>
          <w:color w:val="111827"/>
          <w:sz w:val="22"/>
          <w:szCs w:val="22"/>
        </w:rPr>
        <w:t xml:space="preserve">For Indonesian technology companies pursuing international clients or partnerships, ISO 27001 certification provides a common language. GDPR-regulated European clients, SOC 2-focused US firms, and Singapore's MAS-regulated financial institutions all recognize ISO 27001. It is the certification that travels — a credential that works in Jakarta, Singapore, London, and Frankfurt without requiring explanation.</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FDE68A" w:sz="1"/>
              <w:left w:val="single" w:color="B45309" w:sz="12"/>
              <w:bottom w:val="single" w:color="FDE68A" w:sz="1"/>
              <w:right w:val="single" w:color="FDE68A"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The differentiation window: In 2026, ISO 27001 certification is still a differentiator in Indonesia's mid-market. Within 3–5 years, as regulatory pressure intensifies and enterprise buyers become more sophisticated, it is likely to become a baseline expectation rather than a competitive advantage. Organizations that certify now secure first-mover positioning before it becomes table stakes.</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Benefit 5: Reduced Cost of Security Incidents</w:t>
      </w:r>
    </w:p>
    <w:p>
      <w:pPr>
        <w:spacing w:after="80"/>
      </w:pPr>
      <w:r>
        <w:t xml:space="preserve"/>
      </w:r>
    </w:p>
    <w:p>
      <w:pPr>
        <w:spacing w:after="160" w:line="320"/>
        <w:jc w:val="both"/>
      </w:pPr>
      <w:r>
        <w:rPr>
          <w:rFonts w:ascii="Georgia" w:cs="Georgia" w:eastAsia="Georgia" w:hAnsi="Georgia"/>
          <w:color w:val="111827"/>
          <w:sz w:val="22"/>
          <w:szCs w:val="22"/>
        </w:rPr>
        <w:t xml:space="preserve">The financial case for ISO 27001 is most clearly visible when you look at what security incidents actually cost — and how a mature ISMS changes those costs.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60"/>
        <w:gridCol w:w="2700"/>
        <w:gridCol w:w="3100"/>
      </w:tblGrid>
      <w:tr>
        <w:tc>
          <w:tcPr>
            <w:tcW w:type="dxa" w:w="3560"/>
            <w:tcBorders>
              <w:top w:val="single" w:color="DBEAFE" w:sz="1"/>
              <w:left w:val="single" w:color="DBEAFE" w:sz="1"/>
              <w:bottom w:val="single" w:color="DBEAFE" w:sz="1"/>
              <w:right w:val="single" w:color="DBEAFE" w:sz="1"/>
            </w:tcBorders>
            <w:shd w:fill="1B3A5C" w:val="clear"/>
            <w:tcMar>
              <w:top w:type="dxa" w:w="90"/>
              <w:left w:type="dxa" w:w="130"/>
              <w:bottom w:type="dxa" w:w="90"/>
              <w:right w:type="dxa" w:w="130"/>
            </w:tcMar>
          </w:tcPr>
          <w:p>
            <w:r>
              <w:rPr>
                <w:rFonts w:ascii="Arial" w:cs="Arial" w:eastAsia="Arial" w:hAnsi="Arial"/>
                <w:b/>
                <w:bCs/>
                <w:color w:val="FFFFFF"/>
                <w:sz w:val="20"/>
                <w:szCs w:val="20"/>
              </w:rPr>
              <w:t xml:space="preserve">Factor</w:t>
            </w:r>
          </w:p>
        </w:tc>
        <w:tc>
          <w:tcPr>
            <w:tcW w:type="dxa" w:w="2700"/>
            <w:tcBorders>
              <w:top w:val="single" w:color="DBEAFE" w:sz="1"/>
              <w:left w:val="single" w:color="DBEAFE" w:sz="1"/>
              <w:bottom w:val="single" w:color="DBEAFE" w:sz="1"/>
              <w:right w:val="single" w:color="DBEAFE" w:sz="1"/>
            </w:tcBorders>
            <w:shd w:fill="991B1B" w:val="clear"/>
            <w:tcMar>
              <w:top w:type="dxa" w:w="90"/>
              <w:left w:type="dxa" w:w="130"/>
              <w:bottom w:type="dxa" w:w="90"/>
              <w:right w:type="dxa" w:w="130"/>
            </w:tcMar>
          </w:tcPr>
          <w:p>
            <w:r>
              <w:rPr>
                <w:rFonts w:ascii="Arial" w:cs="Arial" w:eastAsia="Arial" w:hAnsi="Arial"/>
                <w:b/>
                <w:bCs/>
                <w:color w:val="FFFFFF"/>
                <w:sz w:val="20"/>
                <w:szCs w:val="20"/>
              </w:rPr>
              <w:t xml:space="preserve">Without ISO 27001</w:t>
            </w:r>
          </w:p>
        </w:tc>
        <w:tc>
          <w:tcPr>
            <w:tcW w:type="dxa" w:w="3100"/>
            <w:tcBorders>
              <w:top w:val="single" w:color="DBEAFE" w:sz="1"/>
              <w:left w:val="single" w:color="DBEAFE" w:sz="1"/>
              <w:bottom w:val="single" w:color="DBEAFE" w:sz="1"/>
              <w:right w:val="single" w:color="DBEAFE" w:sz="1"/>
            </w:tcBorders>
            <w:shd w:fill="065F46" w:val="clear"/>
            <w:tcMar>
              <w:top w:type="dxa" w:w="90"/>
              <w:left w:type="dxa" w:w="130"/>
              <w:bottom w:type="dxa" w:w="90"/>
              <w:right w:type="dxa" w:w="130"/>
            </w:tcMar>
          </w:tcPr>
          <w:p>
            <w:r>
              <w:rPr>
                <w:rFonts w:ascii="Arial" w:cs="Arial" w:eastAsia="Arial" w:hAnsi="Arial"/>
                <w:b/>
                <w:bCs/>
                <w:color w:val="FFFFFF"/>
                <w:sz w:val="20"/>
                <w:szCs w:val="20"/>
              </w:rPr>
              <w:t xml:space="preserve">With ISO 27001</w:t>
            </w:r>
          </w:p>
        </w:tc>
      </w:tr>
      <w:tr>
        <w:tc>
          <w:tcPr>
            <w:tcW w:type="dxa" w:w="356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111827"/>
                <w:sz w:val="20"/>
                <w:szCs w:val="20"/>
              </w:rPr>
              <w:t xml:space="preserve">Average cost of a data breach (Indonesia, 2024–2025)</w:t>
            </w:r>
          </w:p>
        </w:tc>
        <w:tc>
          <w:tcPr>
            <w:tcW w:type="dxa" w:w="2700"/>
            <w:tcBorders>
              <w:top w:val="single" w:color="DBEAFE" w:sz="1"/>
              <w:left w:val="single" w:color="DBEAFE" w:sz="1"/>
              <w:bottom w:val="single" w:color="DBEAFE" w:sz="1"/>
              <w:right w:val="single" w:color="DBEAFE" w:sz="1"/>
            </w:tcBorders>
            <w:shd w:fill="FEF2F2" w:val="clear"/>
            <w:tcMar>
              <w:top w:type="dxa" w:w="90"/>
              <w:left w:type="dxa" w:w="130"/>
              <w:bottom w:type="dxa" w:w="90"/>
              <w:right w:type="dxa" w:w="130"/>
            </w:tcMar>
          </w:tcPr>
          <w:p>
            <w:r>
              <w:rPr>
                <w:rFonts w:ascii="Georgia" w:cs="Georgia" w:eastAsia="Georgia" w:hAnsi="Georgia"/>
                <w:color w:val="111827"/>
                <w:sz w:val="20"/>
                <w:szCs w:val="20"/>
              </w:rPr>
              <w:t xml:space="preserve">IDR 52–78 billion</w:t>
            </w:r>
          </w:p>
        </w:tc>
        <w:tc>
          <w:tcPr>
            <w:tcW w:type="dxa" w:w="3100"/>
            <w:tcBorders>
              <w:top w:val="single" w:color="DBEAFE" w:sz="1"/>
              <w:left w:val="single" w:color="DBEAFE" w:sz="1"/>
              <w:bottom w:val="single" w:color="DBEAFE" w:sz="1"/>
              <w:right w:val="single" w:color="DBEAFE" w:sz="1"/>
            </w:tcBorders>
            <w:shd w:fill="ECFDF5" w:val="clear"/>
            <w:tcMar>
              <w:top w:type="dxa" w:w="90"/>
              <w:left w:type="dxa" w:w="130"/>
              <w:bottom w:type="dxa" w:w="90"/>
              <w:right w:type="dxa" w:w="130"/>
            </w:tcMar>
          </w:tcPr>
          <w:p>
            <w:r>
              <w:rPr>
                <w:rFonts w:ascii="Georgia" w:cs="Georgia" w:eastAsia="Georgia" w:hAnsi="Georgia"/>
                <w:color w:val="111827"/>
                <w:sz w:val="20"/>
                <w:szCs w:val="20"/>
              </w:rPr>
              <w:t xml:space="preserve">IDR 800M–2B (cert + implementation)</w:t>
            </w:r>
          </w:p>
        </w:tc>
      </w:tr>
      <w:tr>
        <w:tc>
          <w:tcPr>
            <w:tcW w:type="dxa" w:w="35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r>
              <w:rPr>
                <w:rFonts w:ascii="Georgia" w:cs="Georgia" w:eastAsia="Georgia" w:hAnsi="Georgia"/>
                <w:color w:val="111827"/>
                <w:sz w:val="20"/>
                <w:szCs w:val="20"/>
              </w:rPr>
              <w:t xml:space="preserve">OJK/BI regulatory fine exposure (per incident)</w:t>
            </w:r>
          </w:p>
        </w:tc>
        <w:tc>
          <w:tcPr>
            <w:tcW w:type="dxa" w:w="2700"/>
            <w:tcBorders>
              <w:top w:val="single" w:color="DBEAFE" w:sz="1"/>
              <w:left w:val="single" w:color="DBEAFE" w:sz="1"/>
              <w:bottom w:val="single" w:color="DBEAFE" w:sz="1"/>
              <w:right w:val="single" w:color="DBEAFE" w:sz="1"/>
            </w:tcBorders>
            <w:shd w:fill="FFF5F5" w:val="clear"/>
            <w:tcMar>
              <w:top w:type="dxa" w:w="90"/>
              <w:left w:type="dxa" w:w="130"/>
              <w:bottom w:type="dxa" w:w="90"/>
              <w:right w:type="dxa" w:w="130"/>
            </w:tcMar>
          </w:tcPr>
          <w:p>
            <w:r>
              <w:rPr>
                <w:rFonts w:ascii="Georgia" w:cs="Georgia" w:eastAsia="Georgia" w:hAnsi="Georgia"/>
                <w:color w:val="111827"/>
                <w:sz w:val="20"/>
                <w:szCs w:val="20"/>
              </w:rPr>
              <w:t xml:space="preserve">IDR 5–50 billion</w:t>
            </w:r>
          </w:p>
        </w:tc>
        <w:tc>
          <w:tcPr>
            <w:tcW w:type="dxa" w:w="3100"/>
            <w:tcBorders>
              <w:top w:val="single" w:color="DBEAFE" w:sz="1"/>
              <w:left w:val="single" w:color="DBEAFE" w:sz="1"/>
              <w:bottom w:val="single" w:color="DBEAFE" w:sz="1"/>
              <w:right w:val="single" w:color="DBEAFE" w:sz="1"/>
            </w:tcBorders>
            <w:shd w:fill="F0FDF4" w:val="clear"/>
            <w:tcMar>
              <w:top w:type="dxa" w:w="90"/>
              <w:left w:type="dxa" w:w="130"/>
              <w:bottom w:type="dxa" w:w="90"/>
              <w:right w:type="dxa" w:w="130"/>
            </w:tcMar>
          </w:tcPr>
          <w:p>
            <w:r>
              <w:rPr>
                <w:rFonts w:ascii="Georgia" w:cs="Georgia" w:eastAsia="Georgia" w:hAnsi="Georgia"/>
                <w:color w:val="111827"/>
                <w:sz w:val="20"/>
                <w:szCs w:val="20"/>
              </w:rPr>
              <w:t xml:space="preserve">Substantially reduced with documented ISMS</w:t>
            </w:r>
          </w:p>
        </w:tc>
      </w:tr>
      <w:tr>
        <w:tc>
          <w:tcPr>
            <w:tcW w:type="dxa" w:w="356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111827"/>
                <w:sz w:val="20"/>
                <w:szCs w:val="20"/>
              </w:rPr>
              <w:t xml:space="preserve">Enterprise client security questionnaire time</w:t>
            </w:r>
          </w:p>
        </w:tc>
        <w:tc>
          <w:tcPr>
            <w:tcW w:type="dxa" w:w="2700"/>
            <w:tcBorders>
              <w:top w:val="single" w:color="DBEAFE" w:sz="1"/>
              <w:left w:val="single" w:color="DBEAFE" w:sz="1"/>
              <w:bottom w:val="single" w:color="DBEAFE" w:sz="1"/>
              <w:right w:val="single" w:color="DBEAFE" w:sz="1"/>
            </w:tcBorders>
            <w:shd w:fill="FEF2F2" w:val="clear"/>
            <w:tcMar>
              <w:top w:type="dxa" w:w="90"/>
              <w:left w:type="dxa" w:w="130"/>
              <w:bottom w:type="dxa" w:w="90"/>
              <w:right w:type="dxa" w:w="130"/>
            </w:tcMar>
          </w:tcPr>
          <w:p>
            <w:r>
              <w:rPr>
                <w:rFonts w:ascii="Georgia" w:cs="Georgia" w:eastAsia="Georgia" w:hAnsi="Georgia"/>
                <w:color w:val="111827"/>
                <w:sz w:val="20"/>
                <w:szCs w:val="20"/>
              </w:rPr>
              <w:t xml:space="preserve">40–120 hours per client per year</w:t>
            </w:r>
          </w:p>
        </w:tc>
        <w:tc>
          <w:tcPr>
            <w:tcW w:type="dxa" w:w="3100"/>
            <w:tcBorders>
              <w:top w:val="single" w:color="DBEAFE" w:sz="1"/>
              <w:left w:val="single" w:color="DBEAFE" w:sz="1"/>
              <w:bottom w:val="single" w:color="DBEAFE" w:sz="1"/>
              <w:right w:val="single" w:color="DBEAFE" w:sz="1"/>
            </w:tcBorders>
            <w:shd w:fill="ECFDF5" w:val="clear"/>
            <w:tcMar>
              <w:top w:type="dxa" w:w="90"/>
              <w:left w:type="dxa" w:w="130"/>
              <w:bottom w:type="dxa" w:w="90"/>
              <w:right w:type="dxa" w:w="130"/>
            </w:tcMar>
          </w:tcPr>
          <w:p>
            <w:r>
              <w:rPr>
                <w:rFonts w:ascii="Georgia" w:cs="Georgia" w:eastAsia="Georgia" w:hAnsi="Georgia"/>
                <w:color w:val="111827"/>
                <w:sz w:val="20"/>
                <w:szCs w:val="20"/>
              </w:rPr>
              <w:t xml:space="preserve">Certificate replaces most questionnaire responses</w:t>
            </w:r>
          </w:p>
        </w:tc>
      </w:tr>
      <w:tr>
        <w:tc>
          <w:tcPr>
            <w:tcW w:type="dxa" w:w="356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r>
              <w:rPr>
                <w:rFonts w:ascii="Georgia" w:cs="Georgia" w:eastAsia="Georgia" w:hAnsi="Georgia"/>
                <w:color w:val="111827"/>
                <w:sz w:val="20"/>
                <w:szCs w:val="20"/>
              </w:rPr>
              <w:t xml:space="preserve">Cyber insurance premium reduction</w:t>
            </w:r>
          </w:p>
        </w:tc>
        <w:tc>
          <w:tcPr>
            <w:tcW w:type="dxa" w:w="2700"/>
            <w:tcBorders>
              <w:top w:val="single" w:color="DBEAFE" w:sz="1"/>
              <w:left w:val="single" w:color="DBEAFE" w:sz="1"/>
              <w:bottom w:val="single" w:color="DBEAFE" w:sz="1"/>
              <w:right w:val="single" w:color="DBEAFE" w:sz="1"/>
            </w:tcBorders>
            <w:shd w:fill="FFF5F5" w:val="clear"/>
            <w:tcMar>
              <w:top w:type="dxa" w:w="90"/>
              <w:left w:type="dxa" w:w="130"/>
              <w:bottom w:type="dxa" w:w="90"/>
              <w:right w:type="dxa" w:w="130"/>
            </w:tcMar>
          </w:tcPr>
          <w:p>
            <w:r>
              <w:rPr>
                <w:rFonts w:ascii="Georgia" w:cs="Georgia" w:eastAsia="Georgia" w:hAnsi="Georgia"/>
                <w:color w:val="111827"/>
                <w:sz w:val="20"/>
                <w:szCs w:val="20"/>
              </w:rPr>
              <w:t xml:space="preserve">Baseline premium</w:t>
            </w:r>
          </w:p>
        </w:tc>
        <w:tc>
          <w:tcPr>
            <w:tcW w:type="dxa" w:w="3100"/>
            <w:tcBorders>
              <w:top w:val="single" w:color="DBEAFE" w:sz="1"/>
              <w:left w:val="single" w:color="DBEAFE" w:sz="1"/>
              <w:bottom w:val="single" w:color="DBEAFE" w:sz="1"/>
              <w:right w:val="single" w:color="DBEAFE" w:sz="1"/>
            </w:tcBorders>
            <w:shd w:fill="F0FDF4" w:val="clear"/>
            <w:tcMar>
              <w:top w:type="dxa" w:w="90"/>
              <w:left w:type="dxa" w:w="130"/>
              <w:bottom w:type="dxa" w:w="90"/>
              <w:right w:type="dxa" w:w="130"/>
            </w:tcMar>
          </w:tcPr>
          <w:p>
            <w:r>
              <w:rPr>
                <w:rFonts w:ascii="Georgia" w:cs="Georgia" w:eastAsia="Georgia" w:hAnsi="Georgia"/>
                <w:color w:val="111827"/>
                <w:sz w:val="20"/>
                <w:szCs w:val="20"/>
              </w:rPr>
              <w:t xml:space="preserve">15–30% reduction typical with ISO 27001 cert</w:t>
            </w:r>
          </w:p>
        </w:tc>
      </w:tr>
      <w:tr>
        <w:tc>
          <w:tcPr>
            <w:tcW w:type="dxa" w:w="356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111827"/>
                <w:sz w:val="20"/>
                <w:szCs w:val="20"/>
              </w:rPr>
              <w:t xml:space="preserve">Government procurement eligibility</w:t>
            </w:r>
          </w:p>
        </w:tc>
        <w:tc>
          <w:tcPr>
            <w:tcW w:type="dxa" w:w="2700"/>
            <w:tcBorders>
              <w:top w:val="single" w:color="DBEAFE" w:sz="1"/>
              <w:left w:val="single" w:color="DBEAFE" w:sz="1"/>
              <w:bottom w:val="single" w:color="DBEAFE" w:sz="1"/>
              <w:right w:val="single" w:color="DBEAFE" w:sz="1"/>
            </w:tcBorders>
            <w:shd w:fill="FEF2F2" w:val="clear"/>
            <w:tcMar>
              <w:top w:type="dxa" w:w="90"/>
              <w:left w:type="dxa" w:w="130"/>
              <w:bottom w:type="dxa" w:w="90"/>
              <w:right w:type="dxa" w:w="130"/>
            </w:tcMar>
          </w:tcPr>
          <w:p>
            <w:r>
              <w:rPr>
                <w:rFonts w:ascii="Georgia" w:cs="Georgia" w:eastAsia="Georgia" w:hAnsi="Georgia"/>
                <w:color w:val="111827"/>
                <w:sz w:val="20"/>
                <w:szCs w:val="20"/>
              </w:rPr>
              <w:t xml:space="preserve">Often disqualified at RFP stage</w:t>
            </w:r>
          </w:p>
        </w:tc>
        <w:tc>
          <w:tcPr>
            <w:tcW w:type="dxa" w:w="3100"/>
            <w:tcBorders>
              <w:top w:val="single" w:color="DBEAFE" w:sz="1"/>
              <w:left w:val="single" w:color="DBEAFE" w:sz="1"/>
              <w:bottom w:val="single" w:color="DBEAFE" w:sz="1"/>
              <w:right w:val="single" w:color="DBEAFE" w:sz="1"/>
            </w:tcBorders>
            <w:shd w:fill="ECFDF5" w:val="clear"/>
            <w:tcMar>
              <w:top w:type="dxa" w:w="90"/>
              <w:left w:type="dxa" w:w="130"/>
              <w:bottom w:type="dxa" w:w="90"/>
              <w:right w:type="dxa" w:w="130"/>
            </w:tcMar>
          </w:tcPr>
          <w:p>
            <w:r>
              <w:rPr>
                <w:rFonts w:ascii="Georgia" w:cs="Georgia" w:eastAsia="Georgia" w:hAnsi="Georgia"/>
                <w:color w:val="111827"/>
                <w:sz w:val="20"/>
                <w:szCs w:val="20"/>
              </w:rPr>
              <w:t xml:space="preserve">Certification frequently listed as requirement</w:t>
            </w:r>
          </w:p>
        </w:tc>
      </w:tr>
    </w:tbl>
    <w:p>
      <w:pPr>
        <w:spacing w:after="160"/>
      </w:pPr>
      <w:r>
        <w:t xml:space="preserve"/>
      </w:r>
    </w:p>
    <w:p>
      <w:pPr>
        <w:spacing w:after="160" w:line="320"/>
        <w:jc w:val="both"/>
      </w:pPr>
      <w:r>
        <w:rPr>
          <w:rFonts w:ascii="Georgia" w:cs="Georgia" w:eastAsia="Georgia" w:hAnsi="Georgia"/>
          <w:color w:val="111827"/>
          <w:sz w:val="22"/>
          <w:szCs w:val="22"/>
        </w:rPr>
        <w:t xml:space="preserve">The cost of a data breach for an Indonesian organization has risen sharply since UU PDP enforcement began. The direct costs — breach notification to KOMINFO, regulatory investigation support, potential fines, customer notification — are significant. The indirect costs — reputational damage, client churn, delayed procurement decisions — are often larger still.</w:t>
      </w:r>
    </w:p>
    <w:p>
      <w:pPr>
        <w:spacing w:after="80"/>
      </w:pPr>
      <w:r>
        <w:t xml:space="preserve"/>
      </w:r>
    </w:p>
    <w:p>
      <w:pPr>
        <w:spacing w:after="160" w:line="320"/>
        <w:jc w:val="both"/>
      </w:pPr>
      <w:r>
        <w:rPr>
          <w:rFonts w:ascii="Georgia" w:cs="Georgia" w:eastAsia="Georgia" w:hAnsi="Georgia"/>
          <w:color w:val="111827"/>
          <w:sz w:val="22"/>
          <w:szCs w:val="22"/>
        </w:rPr>
        <w:t xml:space="preserve">An ISO 27001 ISMS does not make breaches impossible. What it does is change the cost structure in three ways: it reduces the likelihood of incidents through systematic controls, it reduces the time to detect incidents through logging and monitoring requirements, and it reduces the impact of incidents through documented response procedures and business continuity planning.</w:t>
      </w:r>
    </w:p>
    <w:p>
      <w:pPr>
        <w:spacing w:after="80"/>
      </w:pPr>
      <w:r>
        <w:t xml:space="preserve"/>
      </w:r>
    </w:p>
    <w:p>
      <w:pPr>
        <w:spacing w:after="160" w:line="320"/>
        <w:jc w:val="both"/>
      </w:pPr>
      <w:r>
        <w:rPr>
          <w:rFonts w:ascii="Georgia" w:cs="Georgia" w:eastAsia="Georgia" w:hAnsi="Georgia"/>
          <w:color w:val="111827"/>
          <w:sz w:val="22"/>
          <w:szCs w:val="22"/>
        </w:rPr>
        <w:t xml:space="preserve">The last point is particularly important. When an incident occurs, an organization with a documented incident management process, tested response procedures, and clear escalation paths moves significantly faster than one improvising its response. In a breach scenario, every hour of additional response time has measurable cost implications — for regulatory notification deadlines, for forensic evidence preservation, and for customer communication.</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COST BENCHMARK</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Research from IBM's Cost of a Data Breach report consistently shows that organizations with a mature security management program resolve incidents 40–60 days faster than those without one. For Indonesian organizations with UU PDP's 14-day breach notification obligation, this speed advantage is not just financial — it is a legal compliance requirement.</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Benefit 6: Organizational Security Culture</w:t>
      </w:r>
    </w:p>
    <w:p>
      <w:pPr>
        <w:spacing w:after="80"/>
      </w:pPr>
      <w:r>
        <w:t xml:space="preserve"/>
      </w:r>
    </w:p>
    <w:p>
      <w:pPr>
        <w:spacing w:after="160" w:line="320"/>
        <w:jc w:val="both"/>
      </w:pPr>
      <w:r>
        <w:rPr>
          <w:rFonts w:ascii="Georgia" w:cs="Georgia" w:eastAsia="Georgia" w:hAnsi="Georgia"/>
          <w:color w:val="111827"/>
          <w:sz w:val="22"/>
          <w:szCs w:val="22"/>
        </w:rPr>
        <w:t xml:space="preserve">This benefit is the hardest to quantify and the most underestimated. ISO 27001 does not just change what controls are in place — it changes how an organization thinks about security.</w:t>
      </w:r>
    </w:p>
    <w:p>
      <w:pPr>
        <w:spacing w:after="80"/>
      </w:pPr>
      <w:r>
        <w:t xml:space="preserve"/>
      </w:r>
    </w:p>
    <w:p>
      <w:pPr>
        <w:spacing w:after="160" w:line="320"/>
        <w:jc w:val="both"/>
      </w:pPr>
      <w:r>
        <w:rPr>
          <w:rFonts w:ascii="Georgia" w:cs="Georgia" w:eastAsia="Georgia" w:hAnsi="Georgia"/>
          <w:color w:val="111827"/>
          <w:sz w:val="22"/>
          <w:szCs w:val="22"/>
        </w:rPr>
        <w:t xml:space="preserve">The standard's requirements for security awareness training (Annex A 6.3), clear roles and responsibilities (Clause 5.3), management commitment (Clause 5.1), and competence verification (Clause 7.2) together create conditions where security becomes a shared organizational concern rather than an IT department problem. When the CEO participates in management reviews, when asset owners have formal accountability for protecting their systems, when all staff receive regular training, the cultural dynamic around security shifts.</w:t>
      </w:r>
    </w:p>
    <w:p>
      <w:pPr>
        <w:spacing w:after="80"/>
      </w:pPr>
      <w:r>
        <w:t xml:space="preserve"/>
      </w:r>
    </w:p>
    <w:p>
      <w:pPr>
        <w:spacing w:after="160" w:line="320"/>
        <w:jc w:val="both"/>
      </w:pPr>
      <w:r>
        <w:rPr>
          <w:rFonts w:ascii="Georgia" w:cs="Georgia" w:eastAsia="Georgia" w:hAnsi="Georgia"/>
          <w:color w:val="111827"/>
          <w:sz w:val="22"/>
          <w:szCs w:val="22"/>
        </w:rPr>
        <w:t xml:space="preserve">The practical result is that security issues surface earlier, are reported more readily, and are escalated appropriately rather than quietly buried. Staff who understand why security matters — not just what the rules are — make better decisions in ambiguous situations. A developer who understands the data classification policy will make different choices about where to store test data than one who has simply been told not to use production data.</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F6E4" w:sz="1"/>
              <w:left w:val="single" w:color="0F766E" w:sz="12"/>
              <w:bottom w:val="single" w:color="99F6E4" w:sz="1"/>
              <w:right w:val="single" w:color="99F6E4"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Cultural signal: One of the most reliable indicators that an ISMS is working as a management system rather than a compliance exercise is when non-security staff begin raising security questions proactively — during product design reviews, vendor selection discussions, or new process development. This does not happen through policy documents alone; it requires the sustained organizational commitment that ISO 27001's management requirements create.</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Benefit 7: Operational Resilience and Business Continuity</w:t>
      </w:r>
    </w:p>
    <w:p>
      <w:pPr>
        <w:spacing w:after="80"/>
      </w:pPr>
      <w:r>
        <w:t xml:space="preserve"/>
      </w:r>
    </w:p>
    <w:p>
      <w:pPr>
        <w:spacing w:after="160" w:line="320"/>
        <w:jc w:val="both"/>
      </w:pPr>
      <w:r>
        <w:rPr>
          <w:rFonts w:ascii="Georgia" w:cs="Georgia" w:eastAsia="Georgia" w:hAnsi="Georgia"/>
          <w:color w:val="111827"/>
          <w:sz w:val="22"/>
          <w:szCs w:val="22"/>
        </w:rPr>
        <w:t xml:space="preserve">ISO 27001's Annex A includes controls for information security in business continuity management (Annex A 5.29, 5.30) and ICT readiness for business continuity (Annex A 8.14 — one of the new 2022 controls). These requirements push organizations to think about what happens when security fails — not just how to prevent failure.</w:t>
      </w:r>
    </w:p>
    <w:p>
      <w:pPr>
        <w:spacing w:after="80"/>
      </w:pPr>
      <w:r>
        <w:t xml:space="preserve"/>
      </w:r>
    </w:p>
    <w:p>
      <w:pPr>
        <w:spacing w:after="160" w:line="320"/>
        <w:jc w:val="both"/>
      </w:pPr>
      <w:r>
        <w:rPr>
          <w:rFonts w:ascii="Georgia" w:cs="Georgia" w:eastAsia="Georgia" w:hAnsi="Georgia"/>
          <w:color w:val="111827"/>
          <w:sz w:val="22"/>
          <w:szCs w:val="22"/>
        </w:rPr>
        <w:t xml:space="preserve">The resilience benefit is most visible during actual disruptions. Organizations with mature ISMS implementations that include documented business continuity plans, tested recovery procedures, and defined recovery time objectives handle disruptions differently than those without. They know which systems are critical, they have backup processes defined, and they have rehearsed the response enough to execute under pressure.</w:t>
      </w:r>
    </w:p>
    <w:p>
      <w:pPr>
        <w:spacing w:after="80"/>
      </w:pPr>
      <w:r>
        <w:t xml:space="preserve"/>
      </w:r>
    </w:p>
    <w:p>
      <w:pPr>
        <w:spacing w:after="160" w:line="320"/>
        <w:jc w:val="both"/>
      </w:pPr>
      <w:r>
        <w:rPr>
          <w:rFonts w:ascii="Georgia" w:cs="Georgia" w:eastAsia="Georgia" w:hAnsi="Georgia"/>
          <w:color w:val="111827"/>
          <w:sz w:val="22"/>
          <w:szCs w:val="22"/>
        </w:rPr>
        <w:t xml:space="preserve">In Indonesia's regulatory context, this matters for another reason: OJK requires financial institutions to maintain business continuity plans and conduct regular testing. An ISMS that integrates continuity planning satisfies these requirements as a byproduct of normal operation, rather than requiring a separate parallel program.</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Maturity Progression: Benefits Compound Over Time</w:t>
      </w:r>
    </w:p>
    <w:p>
      <w:pPr>
        <w:spacing w:after="80"/>
      </w:pPr>
      <w:r>
        <w:t xml:space="preserve"/>
      </w:r>
    </w:p>
    <w:p>
      <w:pPr>
        <w:spacing w:after="160" w:line="320"/>
        <w:jc w:val="both"/>
      </w:pPr>
      <w:r>
        <w:rPr>
          <w:rFonts w:ascii="Georgia" w:cs="Georgia" w:eastAsia="Georgia" w:hAnsi="Georgia"/>
          <w:color w:val="111827"/>
          <w:sz w:val="22"/>
          <w:szCs w:val="22"/>
        </w:rPr>
        <w:t xml:space="preserve">One nuance worth addressing: the benefits of ISO 27001 are not uniform at all stages. The first certification cycle is primarily about building the foundation — establishing the risk assessment process, implementing baseline controls, creating documentation, and developing the organizational habits that make the ISMS real rather than theoretical. The benefits at this stage are mostly structural.</w:t>
      </w:r>
    </w:p>
    <w:p>
      <w:pPr>
        <w:spacing w:after="80"/>
      </w:pPr>
      <w:r>
        <w:t xml:space="preserve"/>
      </w:r>
    </w:p>
    <w:p>
      <w:pPr>
        <w:spacing w:after="160" w:line="320"/>
        <w:jc w:val="both"/>
      </w:pPr>
      <w:r>
        <w:rPr>
          <w:rFonts w:ascii="Georgia" w:cs="Georgia" w:eastAsia="Georgia" w:hAnsi="Georgia"/>
          <w:color w:val="111827"/>
          <w:sz w:val="22"/>
          <w:szCs w:val="22"/>
        </w:rPr>
        <w:t xml:space="preserve">The compounding happens in subsequent cycles. As the ISMS matures, the risk register becomes more accurate, controls become more sophisticated, audit findings become less severe, and the organization's ability to respond to new threats becomes faster. The security culture deepens. The market reputation strengthens. The regulatory relationship improves.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DBEAFE" w:sz="1"/>
              <w:left w:val="single" w:color="DBEAFE" w:sz="1"/>
              <w:bottom w:val="single" w:color="DBEAFE" w:sz="1"/>
              <w:right w:val="single" w:color="DBEAFE" w:sz="1"/>
            </w:tcBorders>
            <w:shd w:fill="FEF2F2" w:val="clear"/>
            <w:tcMar>
              <w:top w:type="dxa" w:w="110"/>
              <w:left w:type="dxa" w:w="140"/>
              <w:bottom w:type="dxa" w:w="110"/>
              <w:right w:type="dxa" w:w="140"/>
            </w:tcMar>
            <w:vAlign w:val="center"/>
          </w:tcPr>
          <w:p>
            <w:pPr>
              <w:jc w:val="center"/>
            </w:pPr>
            <w:r>
              <w:rPr>
                <w:rFonts w:ascii="Arial" w:cs="Arial" w:eastAsia="Arial" w:hAnsi="Arial"/>
                <w:b/>
                <w:bCs/>
                <w:color w:val="991B1B"/>
                <w:sz w:val="20"/>
                <w:szCs w:val="20"/>
              </w:rPr>
              <w:t xml:space="preserve">Before ISMS</w:t>
            </w:r>
          </w:p>
        </w:tc>
        <w:tc>
          <w:tcPr>
            <w:tcW w:type="dxa" w:w="7360"/>
            <w:tcBorders>
              <w:top w:val="single" w:color="DBEAFE" w:sz="1"/>
              <w:left w:val="single" w:color="DBEAFE" w:sz="1"/>
              <w:bottom w:val="single" w:color="DBEAFE" w:sz="1"/>
              <w:right w:val="single" w:color="DBEAFE" w:sz="1"/>
            </w:tcBorders>
            <w:shd w:fill="FFFFFF" w:val="clear"/>
            <w:tcMar>
              <w:top w:type="dxa" w:w="110"/>
              <w:left w:type="dxa" w:w="160"/>
              <w:bottom w:type="dxa" w:w="110"/>
              <w:right w:type="dxa" w:w="140"/>
            </w:tcMar>
          </w:tcPr>
          <w:p>
            <w:r>
              <w:rPr>
                <w:rFonts w:ascii="Georgia" w:cs="Georgia" w:eastAsia="Georgia" w:hAnsi="Georgia"/>
                <w:color w:val="111827"/>
                <w:sz w:val="20"/>
                <w:szCs w:val="20"/>
              </w:rPr>
              <w:t xml:space="preserve">Security decisions are ad-hoc. No consistent process for identifying or treating risks. Incidents are responded to reactively. No audit trail.</w:t>
            </w:r>
          </w:p>
        </w:tc>
      </w:tr>
      <w:tr>
        <w:tc>
          <w:tcPr>
            <w:tcW w:type="dxa" w:w="2000"/>
            <w:tcBorders>
              <w:top w:val="single" w:color="DBEAFE" w:sz="1"/>
              <w:left w:val="single" w:color="DBEAFE" w:sz="1"/>
              <w:bottom w:val="single" w:color="DBEAFE" w:sz="1"/>
              <w:right w:val="single" w:color="DBEAFE" w:sz="1"/>
            </w:tcBorders>
            <w:shd w:fill="FFFBEB" w:val="clear"/>
            <w:tcMar>
              <w:top w:type="dxa" w:w="110"/>
              <w:left w:type="dxa" w:w="140"/>
              <w:bottom w:type="dxa" w:w="110"/>
              <w:right w:type="dxa" w:w="140"/>
            </w:tcMar>
            <w:vAlign w:val="center"/>
          </w:tcPr>
          <w:p>
            <w:pPr>
              <w:jc w:val="center"/>
            </w:pPr>
            <w:r>
              <w:rPr>
                <w:rFonts w:ascii="Arial" w:cs="Arial" w:eastAsia="Arial" w:hAnsi="Arial"/>
                <w:b/>
                <w:bCs/>
                <w:color w:val="B45309"/>
                <w:sz w:val="20"/>
                <w:szCs w:val="20"/>
              </w:rPr>
              <w:t xml:space="preserve">ISMS Implemented</w:t>
            </w:r>
          </w:p>
        </w:tc>
        <w:tc>
          <w:tcPr>
            <w:tcW w:type="dxa" w:w="7360"/>
            <w:tcBorders>
              <w:top w:val="single" w:color="DBEAFE" w:sz="1"/>
              <w:left w:val="single" w:color="DBEAFE" w:sz="1"/>
              <w:bottom w:val="single" w:color="DBEAFE" w:sz="1"/>
              <w:right w:val="single" w:color="DBEAFE" w:sz="1"/>
            </w:tcBorders>
            <w:shd w:fill="FFFFFF" w:val="clear"/>
            <w:tcMar>
              <w:top w:type="dxa" w:w="110"/>
              <w:left w:type="dxa" w:w="160"/>
              <w:bottom w:type="dxa" w:w="110"/>
              <w:right w:type="dxa" w:w="140"/>
            </w:tcMar>
          </w:tcPr>
          <w:p>
            <w:r>
              <w:rPr>
                <w:rFonts w:ascii="Georgia" w:cs="Georgia" w:eastAsia="Georgia" w:hAnsi="Georgia"/>
                <w:color w:val="111827"/>
                <w:sz w:val="20"/>
                <w:szCs w:val="20"/>
              </w:rPr>
              <w:t xml:space="preserve">Risks are identified and documented. Controls are selected and implemented. Policies exist. Staff are trained. Evidence is being collected.</w:t>
            </w:r>
          </w:p>
        </w:tc>
      </w:tr>
      <w:tr>
        <w:tc>
          <w:tcPr>
            <w:tcW w:type="dxa" w:w="2000"/>
            <w:tcBorders>
              <w:top w:val="single" w:color="DBEAFE" w:sz="1"/>
              <w:left w:val="single" w:color="DBEAFE" w:sz="1"/>
              <w:bottom w:val="single" w:color="DBEAFE" w:sz="1"/>
              <w:right w:val="single" w:color="DBEAFE" w:sz="1"/>
            </w:tcBorders>
            <w:shd w:fill="EBF2FB" w:val="clear"/>
            <w:tcMar>
              <w:top w:type="dxa" w:w="110"/>
              <w:left w:type="dxa" w:w="140"/>
              <w:bottom w:type="dxa" w:w="110"/>
              <w:right w:type="dxa" w:w="140"/>
            </w:tcMar>
            <w:vAlign w:val="center"/>
          </w:tcPr>
          <w:p>
            <w:pPr>
              <w:jc w:val="center"/>
            </w:pPr>
            <w:r>
              <w:rPr>
                <w:rFonts w:ascii="Arial" w:cs="Arial" w:eastAsia="Arial" w:hAnsi="Arial"/>
                <w:b/>
                <w:bCs/>
                <w:color w:val="2563A8"/>
                <w:sz w:val="20"/>
                <w:szCs w:val="20"/>
              </w:rPr>
              <w:t xml:space="preserve">First Certification</w:t>
            </w:r>
          </w:p>
        </w:tc>
        <w:tc>
          <w:tcPr>
            <w:tcW w:type="dxa" w:w="7360"/>
            <w:tcBorders>
              <w:top w:val="single" w:color="DBEAFE" w:sz="1"/>
              <w:left w:val="single" w:color="DBEAFE" w:sz="1"/>
              <w:bottom w:val="single" w:color="DBEAFE" w:sz="1"/>
              <w:right w:val="single" w:color="DBEAFE" w:sz="1"/>
            </w:tcBorders>
            <w:shd w:fill="FFFFFF" w:val="clear"/>
            <w:tcMar>
              <w:top w:type="dxa" w:w="110"/>
              <w:left w:type="dxa" w:w="160"/>
              <w:bottom w:type="dxa" w:w="110"/>
              <w:right w:type="dxa" w:w="140"/>
            </w:tcMar>
          </w:tcPr>
          <w:p>
            <w:r>
              <w:rPr>
                <w:rFonts w:ascii="Georgia" w:cs="Georgia" w:eastAsia="Georgia" w:hAnsi="Georgia"/>
                <w:color w:val="111827"/>
                <w:sz w:val="20"/>
                <w:szCs w:val="20"/>
              </w:rPr>
              <w:t xml:space="preserve">External auditor confirms the ISMS meets ISO 27001 requirements. Nonconformities are addressed. Certificate issued. Market signal established.</w:t>
            </w:r>
          </w:p>
        </w:tc>
      </w:tr>
      <w:tr>
        <w:tc>
          <w:tcPr>
            <w:tcW w:type="dxa" w:w="2000"/>
            <w:tcBorders>
              <w:top w:val="single" w:color="DBEAFE" w:sz="1"/>
              <w:left w:val="single" w:color="DBEAFE" w:sz="1"/>
              <w:bottom w:val="single" w:color="DBEAFE" w:sz="1"/>
              <w:right w:val="single" w:color="DBEAFE" w:sz="1"/>
            </w:tcBorders>
            <w:shd w:fill="ECFDF5" w:val="clear"/>
            <w:tcMar>
              <w:top w:type="dxa" w:w="110"/>
              <w:left w:type="dxa" w:w="140"/>
              <w:bottom w:type="dxa" w:w="110"/>
              <w:right w:type="dxa" w:w="140"/>
            </w:tcMar>
            <w:vAlign w:val="center"/>
          </w:tcPr>
          <w:p>
            <w:pPr>
              <w:jc w:val="center"/>
            </w:pPr>
            <w:r>
              <w:rPr>
                <w:rFonts w:ascii="Arial" w:cs="Arial" w:eastAsia="Arial" w:hAnsi="Arial"/>
                <w:b/>
                <w:bCs/>
                <w:color w:val="065F46"/>
                <w:sz w:val="20"/>
                <w:szCs w:val="20"/>
              </w:rPr>
              <w:t xml:space="preserve">Ongoing Operation</w:t>
            </w:r>
          </w:p>
        </w:tc>
        <w:tc>
          <w:tcPr>
            <w:tcW w:type="dxa" w:w="7360"/>
            <w:tcBorders>
              <w:top w:val="single" w:color="DBEAFE" w:sz="1"/>
              <w:left w:val="single" w:color="DBEAFE" w:sz="1"/>
              <w:bottom w:val="single" w:color="DBEAFE" w:sz="1"/>
              <w:right w:val="single" w:color="DBEAFE" w:sz="1"/>
            </w:tcBorders>
            <w:shd w:fill="FFFFFF" w:val="clear"/>
            <w:tcMar>
              <w:top w:type="dxa" w:w="110"/>
              <w:left w:type="dxa" w:w="160"/>
              <w:bottom w:type="dxa" w:w="110"/>
              <w:right w:type="dxa" w:w="140"/>
            </w:tcMar>
          </w:tcPr>
          <w:p>
            <w:r>
              <w:rPr>
                <w:rFonts w:ascii="Georgia" w:cs="Georgia" w:eastAsia="Georgia" w:hAnsi="Georgia"/>
                <w:color w:val="111827"/>
                <w:sz w:val="20"/>
                <w:szCs w:val="20"/>
              </w:rPr>
              <w:t xml:space="preserve">Surveillance audits confirm continued operation. Management reviews drive improvement. The ISMS matures as the organization grows and threats evolve.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7F3D0" w:sz="1"/>
              <w:left w:val="single" w:color="0E9F6E" w:sz="12"/>
              <w:bottom w:val="single" w:color="A7F3D0" w:sz="1"/>
              <w:right w:val="single" w:color="A7F3D0"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perspective: We consistently observe that clients who treat their first certification as the beginning of an ongoing program — rather than an end goal — extract 3–5x more value from their ISMS investment over a three-year certification cycle than those who implement minimally to pass the audit and then coast until recertification.</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A Note on What ISO 27001 Cannot Do</w:t>
      </w:r>
    </w:p>
    <w:p>
      <w:pPr>
        <w:spacing w:after="80"/>
      </w:pPr>
      <w:r>
        <w:t xml:space="preserve"/>
      </w:r>
    </w:p>
    <w:p>
      <w:pPr>
        <w:spacing w:after="160" w:line="320"/>
        <w:jc w:val="both"/>
      </w:pPr>
      <w:r>
        <w:rPr>
          <w:rFonts w:ascii="Georgia" w:cs="Georgia" w:eastAsia="Georgia" w:hAnsi="Georgia"/>
          <w:color w:val="111827"/>
          <w:sz w:val="22"/>
          <w:szCs w:val="22"/>
        </w:rPr>
        <w:t xml:space="preserve">No honest account of ISO 27001's benefits is complete without acknowledging its limitations. Certification is not a guarantee against breaches — it is evidence of a systematic approach to managing risk. An organization can be ISO 27001 certified and still suffer a significant security incident. What the ISMS changes is the probability, the detection speed, the response quality, and the defensibility of the organization's position afterward.</w:t>
      </w:r>
    </w:p>
    <w:p>
      <w:pPr>
        <w:spacing w:after="80"/>
      </w:pPr>
      <w:r>
        <w:t xml:space="preserve"/>
      </w:r>
    </w:p>
    <w:p>
      <w:pPr>
        <w:spacing w:after="160" w:line="320"/>
        <w:jc w:val="both"/>
      </w:pPr>
      <w:r>
        <w:rPr>
          <w:rFonts w:ascii="Georgia" w:cs="Georgia" w:eastAsia="Georgia" w:hAnsi="Georgia"/>
          <w:color w:val="111827"/>
          <w:sz w:val="22"/>
          <w:szCs w:val="22"/>
        </w:rPr>
        <w:t xml:space="preserve">Certification also does not automatically satisfy every regulatory requirement in every jurisdiction. It provides strong alignment with Indonesian regulatory frameworks, but specific requirements — such as UU PDP's data subject rights obligations or OJK's specific reporting timelines — require additional compliance work beyond the ISMS.</w:t>
      </w:r>
    </w:p>
    <w:p>
      <w:pPr>
        <w:spacing w:after="80"/>
      </w:pPr>
      <w:r>
        <w:t xml:space="preserve"/>
      </w:r>
    </w:p>
    <w:p>
      <w:pPr>
        <w:spacing w:after="160" w:line="320"/>
        <w:jc w:val="both"/>
      </w:pPr>
      <w:r>
        <w:rPr>
          <w:rFonts w:ascii="Georgia" w:cs="Georgia" w:eastAsia="Georgia" w:hAnsi="Georgia"/>
          <w:color w:val="111827"/>
          <w:sz w:val="22"/>
          <w:szCs w:val="22"/>
        </w:rPr>
        <w:t xml:space="preserve">And certification is only as valuable as the ISMS behind it. A certificate obtained through a minimal, documentation-heavy, operationally hollow implementation provides market signaling but delivers little of the genuine risk reduction and cultural benefits described above. The difference between a real ISMS and a paper ISMS is visible to experienced auditors, to informed clients, and most importantly, to the organization itself when an incident occurs.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HONEST SUMMARY</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ISO 27001 certification is worth the investment when the goal is a genuinely functioning information security management system. The certificate is the proof. The ISMS is the value. Organizations that understand this distinction consistently get more from their implementation — in risk outcomes, regulatory standing, and market positioning.</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1.5 — ISO 27001 vs Other Security Frameworks: A comparison of ISO 27001 against SOC 2, NIST CSF, CIS Controls, and COBIT to help organizations choose the right approach.</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2026-03-10T07:47:51.730Z</dcterms:created>
  <dcterms:modified xsi:type="dcterms:W3CDTF">2026-03-10T07:47:51.731Z</dcterms:modified>
</cp:coreProperties>
</file>

<file path=docProps/custom.xml><?xml version="1.0" encoding="utf-8"?>
<Properties xmlns="http://schemas.openxmlformats.org/officeDocument/2006/custom-properties" xmlns:vt="http://schemas.openxmlformats.org/officeDocument/2006/docPropsVTypes"/>
</file>